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72"/>
          <w:szCs w:val="72"/>
        </w:rPr>
      </w:pPr>
    </w:p>
    <w:p>
      <w:pPr>
        <w:rPr>
          <w:rFonts w:ascii="Times New Roman" w:hAnsi="Times New Roman" w:cs="Times New Roman"/>
          <w:b/>
          <w:sz w:val="72"/>
          <w:szCs w:val="72"/>
        </w:rPr>
      </w:pPr>
    </w:p>
    <w:p>
      <w:pPr>
        <w:rPr>
          <w:rFonts w:ascii="Times New Roman" w:hAnsi="Times New Roman" w:cs="Times New Roman"/>
          <w:b/>
          <w:sz w:val="72"/>
          <w:szCs w:val="72"/>
        </w:rPr>
      </w:pPr>
    </w:p>
    <w:p>
      <w:pPr>
        <w:rPr>
          <w:rFonts w:ascii="Times New Roman" w:hAnsi="Times New Roman" w:cs="Times New Roman"/>
          <w:b/>
          <w:sz w:val="72"/>
          <w:szCs w:val="72"/>
        </w:rPr>
      </w:pPr>
      <w:r>
        <w:rPr>
          <w:rFonts w:ascii="Times New Roman" w:hAnsi="Times New Roman" w:cs="Times New Roman"/>
          <w:b/>
          <w:sz w:val="72"/>
          <w:szCs w:val="72"/>
        </w:rPr>
        <w:t>OPĆINA PODCRKAVLJE</w:t>
      </w:r>
    </w:p>
    <w:p>
      <w:pPr>
        <w:rPr>
          <w:rFonts w:ascii="Times New Roman" w:hAnsi="Times New Roman" w:cs="Times New Roman"/>
          <w:b/>
          <w:sz w:val="48"/>
          <w:szCs w:val="48"/>
        </w:rPr>
      </w:pPr>
    </w:p>
    <w:p>
      <w:pPr>
        <w:jc w:val="both"/>
        <w:rPr>
          <w:rFonts w:ascii="Times New Roman" w:hAnsi="Times New Roman" w:cs="Times New Roman"/>
          <w:i/>
          <w:sz w:val="48"/>
          <w:szCs w:val="48"/>
        </w:rPr>
      </w:pPr>
      <w:r>
        <w:rPr>
          <w:rFonts w:ascii="Times New Roman" w:hAnsi="Times New Roman" w:cs="Times New Roman"/>
          <w:i/>
          <w:sz w:val="48"/>
          <w:szCs w:val="48"/>
        </w:rPr>
        <w:t>BILJEŠKE UZ FINANCIJSKA IZVJEŠĆA ZA 2022. GODINU</w:t>
      </w:r>
    </w:p>
    <w:p>
      <w:pPr>
        <w:jc w:val="both"/>
        <w:rPr>
          <w:rFonts w:ascii="Times New Roman" w:hAnsi="Times New Roman" w:cs="Times New Roman"/>
          <w:i/>
          <w:sz w:val="48"/>
          <w:szCs w:val="48"/>
        </w:rPr>
      </w:pPr>
    </w:p>
    <w:p>
      <w:pPr>
        <w:jc w:val="both"/>
        <w:rPr>
          <w:rFonts w:ascii="Times New Roman" w:hAnsi="Times New Roman" w:cs="Times New Roman"/>
          <w:i/>
          <w:sz w:val="48"/>
          <w:szCs w:val="48"/>
        </w:rPr>
      </w:pPr>
    </w:p>
    <w:p>
      <w:pPr>
        <w:jc w:val="both"/>
        <w:rPr>
          <w:rFonts w:ascii="Times New Roman" w:hAnsi="Times New Roman" w:cs="Times New Roman"/>
          <w:i/>
          <w:sz w:val="48"/>
          <w:szCs w:val="48"/>
        </w:rPr>
      </w:pPr>
    </w:p>
    <w:p>
      <w:pPr>
        <w:jc w:val="both"/>
        <w:rPr>
          <w:rFonts w:ascii="Times New Roman" w:hAnsi="Times New Roman" w:cs="Times New Roman"/>
          <w:i/>
          <w:sz w:val="48"/>
          <w:szCs w:val="48"/>
        </w:rPr>
      </w:pPr>
    </w:p>
    <w:p>
      <w:pPr>
        <w:jc w:val="both"/>
        <w:rPr>
          <w:rFonts w:ascii="Times New Roman" w:hAnsi="Times New Roman" w:cs="Times New Roman"/>
          <w:i/>
          <w:sz w:val="48"/>
          <w:szCs w:val="48"/>
        </w:rPr>
      </w:pPr>
    </w:p>
    <w:p>
      <w:pPr>
        <w:jc w:val="both"/>
        <w:rPr>
          <w:rFonts w:ascii="Times New Roman" w:hAnsi="Times New Roman" w:cs="Times New Roman"/>
          <w:i/>
          <w:sz w:val="48"/>
          <w:szCs w:val="48"/>
        </w:rPr>
      </w:pPr>
    </w:p>
    <w:p>
      <w:pPr>
        <w:jc w:val="both"/>
        <w:rPr>
          <w:rFonts w:ascii="Times New Roman" w:hAnsi="Times New Roman" w:cs="Times New Roman"/>
          <w:i/>
          <w:sz w:val="48"/>
          <w:szCs w:val="48"/>
        </w:rPr>
      </w:pPr>
    </w:p>
    <w:p>
      <w:pPr>
        <w:jc w:val="both"/>
        <w:rPr>
          <w:rFonts w:ascii="Times New Roman" w:hAnsi="Times New Roman" w:cs="Times New Roman"/>
          <w:i/>
          <w:sz w:val="48"/>
          <w:szCs w:val="48"/>
        </w:rPr>
      </w:pPr>
    </w:p>
    <w:p>
      <w:pPr>
        <w:jc w:val="both"/>
        <w:rPr>
          <w:rFonts w:ascii="Times New Roman" w:hAnsi="Times New Roman" w:cs="Times New Roman"/>
          <w:i/>
          <w:sz w:val="48"/>
          <w:szCs w:val="48"/>
        </w:rPr>
      </w:pPr>
    </w:p>
    <w:p>
      <w:pPr>
        <w:jc w:val="both"/>
        <w:rPr>
          <w:rFonts w:ascii="Times New Roman" w:hAnsi="Times New Roman" w:cs="Times New Roman"/>
          <w:i/>
          <w:sz w:val="48"/>
          <w:szCs w:val="48"/>
        </w:rPr>
      </w:pPr>
    </w:p>
    <w:p>
      <w:pPr>
        <w:jc w:val="right"/>
        <w:rPr>
          <w:rFonts w:ascii="Times New Roman" w:hAnsi="Times New Roman" w:cs="Times New Roman"/>
          <w:sz w:val="28"/>
          <w:szCs w:val="28"/>
        </w:rPr>
      </w:pPr>
      <w:r>
        <w:rPr>
          <w:rFonts w:ascii="Times New Roman" w:hAnsi="Times New Roman" w:cs="Times New Roman"/>
          <w:sz w:val="28"/>
          <w:szCs w:val="28"/>
        </w:rPr>
        <w:t>Podcrkavlje, veljača, 2022. godina</w:t>
      </w:r>
    </w:p>
    <w:p>
      <w:pPr>
        <w:rPr>
          <w:rFonts w:ascii="Times New Roman" w:hAnsi="Times New Roman" w:cs="Times New Roman"/>
          <w:sz w:val="28"/>
          <w:szCs w:val="28"/>
        </w:rPr>
      </w:pPr>
    </w:p>
    <w:p>
      <w:pPr>
        <w:pStyle w:val="7"/>
        <w:spacing w:before="0" w:beforeAutospacing="0" w:after="0" w:afterAutospacing="0"/>
        <w:rPr>
          <w:b/>
        </w:rPr>
      </w:pPr>
    </w:p>
    <w:p>
      <w:pPr>
        <w:pStyle w:val="7"/>
        <w:spacing w:before="0" w:beforeAutospacing="0" w:after="0" w:afterAutospacing="0"/>
        <w:rPr>
          <w:b/>
        </w:rPr>
      </w:pPr>
      <w:r>
        <w:rPr>
          <w:b/>
        </w:rPr>
        <w:t>REPUBLIKA HRVATSKA</w:t>
      </w:r>
    </w:p>
    <w:p>
      <w:pPr>
        <w:pStyle w:val="7"/>
        <w:spacing w:before="0" w:beforeAutospacing="0" w:after="0" w:afterAutospacing="0"/>
        <w:rPr>
          <w:b/>
        </w:rPr>
      </w:pPr>
      <w:r>
        <w:rPr>
          <w:b/>
        </w:rPr>
        <w:t>BRODSKO POSAVSKA ŽUPANIJA</w:t>
      </w:r>
    </w:p>
    <w:p>
      <w:pPr>
        <w:pStyle w:val="7"/>
        <w:spacing w:before="0" w:beforeAutospacing="0" w:after="0" w:afterAutospacing="0"/>
        <w:rPr>
          <w:b/>
        </w:rPr>
      </w:pPr>
      <w:r>
        <w:rPr>
          <w:b/>
        </w:rPr>
        <w:t>OPĆINA PODCRKAVLJE</w:t>
      </w:r>
    </w:p>
    <w:p>
      <w:pPr>
        <w:spacing w:after="0" w:line="240" w:lineRule="auto"/>
        <w:rPr>
          <w:rFonts w:ascii="Times New Roman" w:hAnsi="Times New Roman" w:cs="Times New Roman"/>
          <w:sz w:val="24"/>
          <w:szCs w:val="24"/>
        </w:rPr>
      </w:pPr>
      <w:r>
        <w:rPr>
          <w:rFonts w:ascii="Times New Roman" w:hAnsi="Times New Roman" w:cs="Times New Roman"/>
          <w:sz w:val="24"/>
          <w:szCs w:val="24"/>
        </w:rPr>
        <w:t>Podcrkavlje, Trg 108. brigade ZNG br. 11</w:t>
      </w:r>
    </w:p>
    <w:p>
      <w:pPr>
        <w:spacing w:after="0" w:line="240" w:lineRule="auto"/>
        <w:rPr>
          <w:rFonts w:ascii="Times New Roman" w:hAnsi="Times New Roman" w:cs="Times New Roman"/>
          <w:sz w:val="24"/>
          <w:szCs w:val="24"/>
        </w:rPr>
      </w:pPr>
      <w:r>
        <w:rPr>
          <w:rFonts w:ascii="Times New Roman" w:hAnsi="Times New Roman" w:cs="Times New Roman"/>
          <w:sz w:val="24"/>
          <w:szCs w:val="24"/>
        </w:rPr>
        <w:t>OIB: 39613161208</w:t>
      </w:r>
    </w:p>
    <w:p>
      <w:pPr>
        <w:spacing w:after="0" w:line="240" w:lineRule="auto"/>
        <w:rPr>
          <w:rFonts w:ascii="Times New Roman" w:hAnsi="Times New Roman" w:cs="Times New Roman"/>
          <w:sz w:val="24"/>
          <w:szCs w:val="24"/>
        </w:rPr>
      </w:pPr>
      <w:r>
        <w:rPr>
          <w:rFonts w:ascii="Times New Roman" w:hAnsi="Times New Roman" w:cs="Times New Roman"/>
          <w:sz w:val="24"/>
          <w:szCs w:val="24"/>
        </w:rPr>
        <w:t>Podcrkavlje, 15. veljače 2022. godine</w:t>
      </w:r>
    </w:p>
    <w:p>
      <w:pPr>
        <w:pStyle w:val="10"/>
      </w:pPr>
    </w:p>
    <w:p>
      <w:pPr>
        <w:pStyle w:val="10"/>
      </w:pPr>
    </w:p>
    <w:p>
      <w:pPr>
        <w:pStyle w:val="10"/>
      </w:pPr>
    </w:p>
    <w:p>
      <w:pPr>
        <w:pStyle w:val="10"/>
        <w:rPr>
          <w:sz w:val="28"/>
          <w:szCs w:val="28"/>
        </w:rPr>
      </w:pPr>
    </w:p>
    <w:p>
      <w:pPr>
        <w:pStyle w:val="10"/>
        <w:rPr>
          <w:sz w:val="40"/>
          <w:szCs w:val="40"/>
        </w:rPr>
      </w:pPr>
      <w:r>
        <w:rPr>
          <w:sz w:val="40"/>
          <w:szCs w:val="40"/>
        </w:rPr>
        <w:t xml:space="preserve">BILJEŠKE </w:t>
      </w:r>
    </w:p>
    <w:p>
      <w:pPr>
        <w:pStyle w:val="10"/>
        <w:rPr>
          <w:sz w:val="28"/>
          <w:szCs w:val="28"/>
        </w:rPr>
      </w:pPr>
      <w:r>
        <w:rPr>
          <w:sz w:val="28"/>
          <w:szCs w:val="28"/>
        </w:rPr>
        <w:t>UZ FINANCIJSKE IZVJEŠTAJE</w:t>
      </w:r>
    </w:p>
    <w:p>
      <w:pPr>
        <w:pStyle w:val="10"/>
        <w:rPr>
          <w:b w:val="0"/>
          <w:i/>
          <w:sz w:val="28"/>
          <w:szCs w:val="28"/>
        </w:rPr>
      </w:pPr>
      <w:r>
        <w:rPr>
          <w:b w:val="0"/>
          <w:i/>
          <w:sz w:val="28"/>
          <w:szCs w:val="28"/>
        </w:rPr>
        <w:t>za razdoblje od 01. siječnja do 31. prosinca 2022. godine</w:t>
      </w:r>
    </w:p>
    <w:p>
      <w:pPr>
        <w:pStyle w:val="10"/>
        <w:jc w:val="left"/>
        <w:rPr>
          <w:b w:val="0"/>
          <w:i/>
          <w:sz w:val="28"/>
          <w:szCs w:val="28"/>
        </w:rPr>
      </w:pPr>
    </w:p>
    <w:p>
      <w:pPr>
        <w:autoSpaceDE w:val="0"/>
        <w:autoSpaceDN w:val="0"/>
        <w:adjustRightInd w:val="0"/>
        <w:rPr>
          <w:rFonts w:ascii="Times New Roman" w:hAnsi="Times New Roman" w:cs="Times New Roman"/>
          <w:b/>
          <w:bCs/>
        </w:rPr>
      </w:pPr>
    </w:p>
    <w:p>
      <w:pPr>
        <w:autoSpaceDE w:val="0"/>
        <w:autoSpaceDN w:val="0"/>
        <w:adjustRightInd w:val="0"/>
        <w:rPr>
          <w:rFonts w:ascii="Times New Roman" w:hAnsi="Times New Roman" w:cs="Times New Roman"/>
          <w:b/>
          <w:bCs/>
        </w:rPr>
      </w:pPr>
    </w:p>
    <w:p>
      <w:pPr>
        <w:autoSpaceDE w:val="0"/>
        <w:autoSpaceDN w:val="0"/>
        <w:adjustRightInd w:val="0"/>
        <w:spacing w:line="360" w:lineRule="auto"/>
        <w:rPr>
          <w:rFonts w:ascii="Times New Roman" w:hAnsi="Times New Roman" w:cs="Times New Roman"/>
          <w:b/>
          <w:bCs/>
        </w:rPr>
      </w:pPr>
      <w:r>
        <w:rPr>
          <w:rFonts w:ascii="Times New Roman" w:hAnsi="Times New Roman" w:cs="Times New Roman"/>
        </w:rPr>
        <w:t xml:space="preserve">1. Naziv obveznika: </w:t>
      </w:r>
      <w:r>
        <w:rPr>
          <w:rFonts w:ascii="Times New Roman" w:hAnsi="Times New Roman" w:cs="Times New Roman"/>
          <w:b/>
          <w:bCs/>
        </w:rPr>
        <w:t>OPĆINA PODCRKAVLJE</w:t>
      </w:r>
    </w:p>
    <w:p>
      <w:pPr>
        <w:autoSpaceDE w:val="0"/>
        <w:autoSpaceDN w:val="0"/>
        <w:adjustRightInd w:val="0"/>
        <w:spacing w:line="360" w:lineRule="auto"/>
        <w:rPr>
          <w:rFonts w:ascii="Times New Roman" w:hAnsi="Times New Roman" w:cs="Times New Roman"/>
        </w:rPr>
      </w:pPr>
      <w:r>
        <w:rPr>
          <w:rFonts w:ascii="Times New Roman" w:hAnsi="Times New Roman" w:cs="Times New Roman"/>
        </w:rPr>
        <w:t>2. Sjedište obveznika: 35 201 PODCRKAVLJE</w:t>
      </w:r>
    </w:p>
    <w:p>
      <w:pPr>
        <w:autoSpaceDE w:val="0"/>
        <w:autoSpaceDN w:val="0"/>
        <w:adjustRightInd w:val="0"/>
        <w:spacing w:line="360" w:lineRule="auto"/>
        <w:rPr>
          <w:rFonts w:ascii="Times New Roman" w:hAnsi="Times New Roman" w:cs="Times New Roman"/>
        </w:rPr>
      </w:pPr>
      <w:r>
        <w:rPr>
          <w:rFonts w:ascii="Times New Roman" w:hAnsi="Times New Roman" w:cs="Times New Roman"/>
        </w:rPr>
        <w:t>3. Adresa sjedišta: Trg 108. brigade ZNG br. 11</w:t>
      </w:r>
    </w:p>
    <w:p>
      <w:pPr>
        <w:autoSpaceDE w:val="0"/>
        <w:autoSpaceDN w:val="0"/>
        <w:adjustRightInd w:val="0"/>
        <w:spacing w:line="360" w:lineRule="auto"/>
        <w:rPr>
          <w:rFonts w:ascii="Times New Roman" w:hAnsi="Times New Roman" w:cs="Times New Roman"/>
        </w:rPr>
      </w:pPr>
      <w:r>
        <w:rPr>
          <w:rFonts w:ascii="Times New Roman" w:hAnsi="Times New Roman" w:cs="Times New Roman"/>
        </w:rPr>
        <w:t>4. Šifra općine: 338</w:t>
      </w:r>
    </w:p>
    <w:p>
      <w:pPr>
        <w:autoSpaceDE w:val="0"/>
        <w:autoSpaceDN w:val="0"/>
        <w:adjustRightInd w:val="0"/>
        <w:spacing w:line="360" w:lineRule="auto"/>
        <w:rPr>
          <w:rFonts w:ascii="Times New Roman" w:hAnsi="Times New Roman" w:cs="Times New Roman"/>
        </w:rPr>
      </w:pPr>
      <w:r>
        <w:rPr>
          <w:rFonts w:ascii="Times New Roman" w:hAnsi="Times New Roman" w:cs="Times New Roman"/>
        </w:rPr>
        <w:t>5. Broj RKP-a: 37164</w:t>
      </w:r>
    </w:p>
    <w:p>
      <w:pPr>
        <w:autoSpaceDE w:val="0"/>
        <w:autoSpaceDN w:val="0"/>
        <w:adjustRightInd w:val="0"/>
        <w:spacing w:line="360" w:lineRule="auto"/>
        <w:rPr>
          <w:rFonts w:ascii="Times New Roman" w:hAnsi="Times New Roman" w:cs="Times New Roman"/>
        </w:rPr>
      </w:pPr>
      <w:r>
        <w:rPr>
          <w:rFonts w:ascii="Times New Roman" w:hAnsi="Times New Roman" w:cs="Times New Roman"/>
        </w:rPr>
        <w:t>6. Matični broj: 02586975</w:t>
      </w:r>
    </w:p>
    <w:p>
      <w:pPr>
        <w:autoSpaceDE w:val="0"/>
        <w:autoSpaceDN w:val="0"/>
        <w:adjustRightInd w:val="0"/>
        <w:spacing w:line="360" w:lineRule="auto"/>
        <w:rPr>
          <w:rFonts w:ascii="Times New Roman" w:hAnsi="Times New Roman" w:cs="Times New Roman"/>
        </w:rPr>
      </w:pPr>
      <w:r>
        <w:rPr>
          <w:rFonts w:ascii="Times New Roman" w:hAnsi="Times New Roman" w:cs="Times New Roman"/>
        </w:rPr>
        <w:t>7. OIB: 39613161208</w:t>
      </w:r>
    </w:p>
    <w:p>
      <w:pPr>
        <w:shd w:val="clear" w:color="auto" w:fill="8EAADB" w:themeFill="accent1" w:themeFillTint="99"/>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8. Razina: 22 </w:t>
      </w:r>
    </w:p>
    <w:p>
      <w:pPr>
        <w:autoSpaceDE w:val="0"/>
        <w:autoSpaceDN w:val="0"/>
        <w:adjustRightInd w:val="0"/>
        <w:spacing w:line="360" w:lineRule="auto"/>
        <w:rPr>
          <w:rFonts w:ascii="Times New Roman" w:hAnsi="Times New Roman" w:cs="Times New Roman"/>
        </w:rPr>
      </w:pPr>
      <w:r>
        <w:rPr>
          <w:rFonts w:ascii="Times New Roman" w:hAnsi="Times New Roman" w:cs="Times New Roman"/>
        </w:rPr>
        <w:t>9. Razdjel: 000</w:t>
      </w:r>
    </w:p>
    <w:p>
      <w:pPr>
        <w:autoSpaceDE w:val="0"/>
        <w:autoSpaceDN w:val="0"/>
        <w:adjustRightInd w:val="0"/>
        <w:spacing w:line="360" w:lineRule="auto"/>
        <w:rPr>
          <w:rFonts w:ascii="Times New Roman" w:hAnsi="Times New Roman" w:cs="Times New Roman"/>
        </w:rPr>
      </w:pPr>
      <w:r>
        <w:rPr>
          <w:rFonts w:ascii="Times New Roman" w:hAnsi="Times New Roman" w:cs="Times New Roman"/>
        </w:rPr>
        <w:t>10. Šifra djelatnosti - NKD 2007: 8411</w:t>
      </w:r>
    </w:p>
    <w:p>
      <w:pPr>
        <w:spacing w:line="360" w:lineRule="auto"/>
        <w:rPr>
          <w:rFonts w:ascii="Times New Roman" w:hAnsi="Times New Roman" w:cs="Times New Roman"/>
          <w:b/>
          <w:bCs/>
        </w:rPr>
      </w:pPr>
      <w:r>
        <w:rPr>
          <w:rFonts w:ascii="Times New Roman" w:hAnsi="Times New Roman" w:cs="Times New Roman"/>
        </w:rPr>
        <w:t>11. Razdoblje</w:t>
      </w:r>
      <w:r>
        <w:rPr>
          <w:rFonts w:ascii="Times New Roman" w:hAnsi="Times New Roman" w:cs="Times New Roman"/>
          <w:b/>
          <w:bCs/>
        </w:rPr>
        <w:t>: 01. 01. – 31. 12. 2022. godine</w:t>
      </w:r>
    </w:p>
    <w:p>
      <w:pPr>
        <w:spacing w:after="0" w:line="240" w:lineRule="auto"/>
        <w:rPr>
          <w:rFonts w:ascii="Times New Roman" w:hAnsi="Times New Roman" w:cs="Times New Roman"/>
          <w:b/>
          <w:bCs/>
          <w:i/>
          <w:sz w:val="24"/>
          <w:szCs w:val="24"/>
        </w:rPr>
      </w:pPr>
    </w:p>
    <w:p>
      <w:pPr>
        <w:spacing w:after="0" w:line="240" w:lineRule="auto"/>
        <w:rPr>
          <w:rFonts w:ascii="Times New Roman" w:hAnsi="Times New Roman" w:cs="Times New Roman"/>
          <w:b/>
          <w:bCs/>
          <w:i/>
          <w:sz w:val="24"/>
          <w:szCs w:val="24"/>
        </w:rPr>
      </w:pPr>
    </w:p>
    <w:p>
      <w:pPr>
        <w:spacing w:after="0" w:line="240" w:lineRule="auto"/>
        <w:rPr>
          <w:rFonts w:ascii="Times New Roman" w:hAnsi="Times New Roman" w:cs="Times New Roman"/>
          <w:b/>
          <w:bCs/>
          <w:i/>
          <w:sz w:val="24"/>
          <w:szCs w:val="24"/>
        </w:rPr>
      </w:pPr>
    </w:p>
    <w:p>
      <w:pPr>
        <w:spacing w:after="0" w:line="240" w:lineRule="auto"/>
        <w:rPr>
          <w:rFonts w:ascii="Times New Roman" w:hAnsi="Times New Roman" w:cs="Times New Roman"/>
          <w:b/>
          <w:bCs/>
          <w:i/>
          <w:sz w:val="24"/>
          <w:szCs w:val="24"/>
        </w:rPr>
      </w:pPr>
    </w:p>
    <w:p>
      <w:pPr>
        <w:spacing w:after="0" w:line="240" w:lineRule="auto"/>
        <w:rPr>
          <w:rFonts w:ascii="Times New Roman" w:hAnsi="Times New Roman" w:cs="Times New Roman"/>
          <w:b/>
          <w:bCs/>
          <w:i/>
          <w:sz w:val="24"/>
          <w:szCs w:val="24"/>
        </w:rPr>
      </w:pPr>
    </w:p>
    <w:p>
      <w:pPr>
        <w:spacing w:after="0" w:line="240" w:lineRule="auto"/>
        <w:rPr>
          <w:rFonts w:ascii="Times New Roman" w:hAnsi="Times New Roman" w:cs="Times New Roman"/>
          <w:b/>
          <w:bCs/>
          <w:i/>
          <w:sz w:val="24"/>
          <w:szCs w:val="24"/>
        </w:rPr>
      </w:pPr>
    </w:p>
    <w:p>
      <w:pPr>
        <w:spacing w:after="0" w:line="240" w:lineRule="auto"/>
        <w:rPr>
          <w:rFonts w:ascii="Times New Roman" w:hAnsi="Times New Roman" w:cs="Times New Roman"/>
          <w:b/>
          <w:bCs/>
          <w:i/>
          <w:sz w:val="24"/>
          <w:szCs w:val="24"/>
        </w:rPr>
      </w:pPr>
    </w:p>
    <w:p>
      <w:pPr>
        <w:spacing w:after="0" w:line="240" w:lineRule="auto"/>
        <w:rPr>
          <w:rFonts w:ascii="Times New Roman" w:hAnsi="Times New Roman" w:cs="Times New Roman"/>
          <w:b/>
          <w:bCs/>
          <w:i/>
          <w:color w:val="2F5597" w:themeColor="accent1" w:themeShade="BF"/>
          <w:sz w:val="28"/>
          <w:szCs w:val="28"/>
        </w:rPr>
      </w:pPr>
      <w:r>
        <w:rPr>
          <w:rFonts w:ascii="Times New Roman" w:hAnsi="Times New Roman" w:cs="Times New Roman"/>
          <w:b/>
          <w:bCs/>
          <w:i/>
          <w:color w:val="2F5597" w:themeColor="accent1" w:themeShade="BF"/>
          <w:sz w:val="28"/>
          <w:szCs w:val="28"/>
        </w:rPr>
        <w:t>1. UVOD</w:t>
      </w:r>
    </w:p>
    <w:p>
      <w:pPr>
        <w:spacing w:after="0" w:line="240" w:lineRule="auto"/>
        <w:rPr>
          <w:rFonts w:ascii="Times New Roman" w:hAnsi="Times New Roman" w:cs="Times New Roman"/>
          <w:b/>
          <w:bCs/>
          <w:i/>
          <w:color w:val="2F5597" w:themeColor="accent1" w:themeShade="BF"/>
          <w:sz w:val="28"/>
          <w:szCs w:val="28"/>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skladu s odredbama Pravilnika o financijskom izvještavanju u proračunskom računovodstvu (Narodne Novine, br. 3/15, 93/15, 135/15, 2/17, 28/17, 112/18, 126/19, 145/20 i 32/21) i Okružnice o sastavljanju, konsolidaciji i predaji financijskih izvještaja proračuna, proračunskih i izvanproračunskih korisnika državnog proračuna te proračunskih i izvanproračunskih korisnika proračuna jedinica lokalne i područne (regionalne) samouprave za razdoblje 1. siječnja do 31. prosinca 2022. godine, Ministarstva financija, KLASA: 400-02/22-01/26; URBROJ: 513-05-03-23-5 od 12. siječnja 2023., sastavljen je Financijski izvještaj Općine Podcrkavlje za razdoblje siječanj – prosinac 2022. godine koji se sastoji od: </w:t>
      </w:r>
    </w:p>
    <w:p>
      <w:pPr>
        <w:pStyle w:val="12"/>
        <w:numPr>
          <w:ilvl w:val="0"/>
          <w:numId w:val="1"/>
        </w:numPr>
        <w:autoSpaceDE w:val="0"/>
        <w:autoSpaceDN w:val="0"/>
        <w:adjustRightInd w:val="0"/>
        <w:jc w:val="both"/>
      </w:pPr>
      <w:r>
        <w:t xml:space="preserve">Bilance (Obrazac BIL), </w:t>
      </w:r>
    </w:p>
    <w:p>
      <w:pPr>
        <w:pStyle w:val="12"/>
        <w:numPr>
          <w:ilvl w:val="0"/>
          <w:numId w:val="1"/>
        </w:numPr>
        <w:autoSpaceDE w:val="0"/>
        <w:autoSpaceDN w:val="0"/>
        <w:adjustRightInd w:val="0"/>
        <w:jc w:val="both"/>
      </w:pPr>
      <w:r>
        <w:t xml:space="preserve">Izvještaja o prihodima i rashodima, primicima i izdacima (Obrazac PR-RAS), </w:t>
      </w:r>
    </w:p>
    <w:p>
      <w:pPr>
        <w:pStyle w:val="12"/>
        <w:numPr>
          <w:ilvl w:val="0"/>
          <w:numId w:val="1"/>
        </w:numPr>
        <w:autoSpaceDE w:val="0"/>
        <w:autoSpaceDN w:val="0"/>
        <w:adjustRightInd w:val="0"/>
        <w:jc w:val="both"/>
      </w:pPr>
      <w:r>
        <w:t>Izvještaja o rashodima prema funkcijskoj klasifikaciji (Obrazac RAS-funkcijski),</w:t>
      </w:r>
    </w:p>
    <w:p>
      <w:pPr>
        <w:pStyle w:val="12"/>
        <w:numPr>
          <w:ilvl w:val="0"/>
          <w:numId w:val="1"/>
        </w:numPr>
        <w:autoSpaceDE w:val="0"/>
        <w:autoSpaceDN w:val="0"/>
        <w:adjustRightInd w:val="0"/>
        <w:jc w:val="both"/>
      </w:pPr>
      <w:r>
        <w:t>Izvještaja o promjenama u vrijednosti i obujmu imovine i obveza (Obrazac P-VRIO),</w:t>
      </w:r>
    </w:p>
    <w:p>
      <w:pPr>
        <w:pStyle w:val="12"/>
        <w:numPr>
          <w:ilvl w:val="0"/>
          <w:numId w:val="1"/>
        </w:numPr>
        <w:autoSpaceDE w:val="0"/>
        <w:autoSpaceDN w:val="0"/>
        <w:adjustRightInd w:val="0"/>
        <w:jc w:val="both"/>
      </w:pPr>
      <w:r>
        <w:t>Izvještaja o obvezama (Obrazac OBVEZE) i ovih Bilješki.</w:t>
      </w:r>
    </w:p>
    <w:p>
      <w:pPr>
        <w:autoSpaceDE w:val="0"/>
        <w:autoSpaceDN w:val="0"/>
        <w:adjustRightInd w:val="0"/>
        <w:jc w:val="both"/>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Bilješka broj 1</w:t>
      </w:r>
      <w:r>
        <w:rPr>
          <w:rFonts w:ascii="Times New Roman" w:hAnsi="Times New Roman" w:cs="Times New Roman"/>
          <w:sz w:val="24"/>
          <w:szCs w:val="24"/>
        </w:rPr>
        <w:t xml:space="preserve"> – Općina Podcrkavlje primjenjuje proračunsko računovodstvo u skladu sa Zakonom o proračunu (Narodne novine, broj 144/21) i Pravilnikom o proračunskom računovodstvu i računskom planu (Narodne novine, broj 124/14, 115/15, 87/16, 3/18, 126/19, 108/20 i 144/21). Prema odredbama navedenih propisa Općina u svojim knjigovodstvenim evidencijama osigurava pojedinačne podatke o vrstama prihoda i primitaka, rashoda i izdataka, stanju imovine, obveza i vlastitih izvora.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Knjigovodstvo se vodi po načelu dvojnog knjigovodstva, prema propisanom računskom planu, vode se poslovne knjige: dnevnik, glavna knjiga i pomoćne knjige. Prihodi i primici te rashodi i izdaci iskazuju se prema modificiranom računovodstvenom načelu nastanka događaja. Prihodi i primici priznaju se u izvještajnom razdoblju u kojem su postali raspoloživi i pod uvjetom da su mjerljivi. Rashodi se priznaju na temelju nastanka događaja (obveza) i u izvještajnom razdoblju na koje se odnose neovisno o plaćanju. Imovina i obveze iskazuju se po računovodstvenom načelu nastanka događaja uz primjenu metode povijesnog troška.</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Nastavno se u Bilješkama obrazlažu numerički podaci i veća odstupanja iskazana u obrascima</w:t>
      </w:r>
    </w:p>
    <w:p>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Financijskog izvještaja.</w:t>
      </w:r>
    </w:p>
    <w:p>
      <w:pPr>
        <w:autoSpaceDE w:val="0"/>
        <w:autoSpaceDN w:val="0"/>
        <w:adjustRightInd w:val="0"/>
        <w:jc w:val="both"/>
        <w:rPr>
          <w:rFonts w:ascii="Times New Roman" w:hAnsi="Times New Roman" w:cs="Times New Roman"/>
          <w:sz w:val="24"/>
          <w:szCs w:val="24"/>
        </w:rPr>
      </w:pPr>
    </w:p>
    <w:p>
      <w:pPr>
        <w:autoSpaceDE w:val="0"/>
        <w:autoSpaceDN w:val="0"/>
        <w:adjustRightInd w:val="0"/>
        <w:jc w:val="both"/>
        <w:rPr>
          <w:rFonts w:ascii="Times New Roman" w:hAnsi="Times New Roman" w:cs="Times New Roman"/>
          <w:sz w:val="24"/>
          <w:szCs w:val="24"/>
        </w:rPr>
      </w:pPr>
    </w:p>
    <w:p>
      <w:pPr>
        <w:autoSpaceDE w:val="0"/>
        <w:autoSpaceDN w:val="0"/>
        <w:adjustRightInd w:val="0"/>
        <w:jc w:val="both"/>
        <w:rPr>
          <w:rFonts w:ascii="Times New Roman" w:hAnsi="Times New Roman" w:cs="Times New Roman"/>
          <w:sz w:val="24"/>
          <w:szCs w:val="24"/>
        </w:rPr>
      </w:pPr>
    </w:p>
    <w:p>
      <w:pPr>
        <w:autoSpaceDE w:val="0"/>
        <w:autoSpaceDN w:val="0"/>
        <w:adjustRightInd w:val="0"/>
        <w:jc w:val="both"/>
        <w:rPr>
          <w:rFonts w:ascii="Times New Roman" w:hAnsi="Times New Roman" w:cs="Times New Roman"/>
          <w:sz w:val="24"/>
          <w:szCs w:val="24"/>
        </w:rPr>
      </w:pPr>
    </w:p>
    <w:p>
      <w:pPr>
        <w:autoSpaceDE w:val="0"/>
        <w:autoSpaceDN w:val="0"/>
        <w:adjustRightInd w:val="0"/>
        <w:jc w:val="both"/>
        <w:rPr>
          <w:rFonts w:ascii="Times New Roman" w:hAnsi="Times New Roman" w:cs="Times New Roman"/>
          <w:sz w:val="24"/>
          <w:szCs w:val="24"/>
        </w:rPr>
      </w:pPr>
    </w:p>
    <w:p>
      <w:pPr>
        <w:autoSpaceDE w:val="0"/>
        <w:autoSpaceDN w:val="0"/>
        <w:adjustRightInd w:val="0"/>
        <w:jc w:val="both"/>
        <w:rPr>
          <w:rFonts w:ascii="Times New Roman" w:hAnsi="Times New Roman" w:cs="Times New Roman"/>
          <w:sz w:val="24"/>
          <w:szCs w:val="24"/>
        </w:rPr>
      </w:pPr>
    </w:p>
    <w:p>
      <w:pPr>
        <w:autoSpaceDE w:val="0"/>
        <w:autoSpaceDN w:val="0"/>
        <w:adjustRightInd w:val="0"/>
        <w:jc w:val="both"/>
        <w:rPr>
          <w:rFonts w:ascii="Times New Roman" w:hAnsi="Times New Roman" w:cs="Times New Roman"/>
          <w:sz w:val="24"/>
          <w:szCs w:val="24"/>
        </w:rPr>
      </w:pPr>
    </w:p>
    <w:p>
      <w:pPr>
        <w:autoSpaceDE w:val="0"/>
        <w:autoSpaceDN w:val="0"/>
        <w:adjustRightInd w:val="0"/>
        <w:jc w:val="both"/>
        <w:rPr>
          <w:rFonts w:ascii="Times New Roman" w:hAnsi="Times New Roman" w:cs="Times New Roman"/>
          <w:sz w:val="24"/>
          <w:szCs w:val="24"/>
        </w:rPr>
      </w:pPr>
    </w:p>
    <w:p>
      <w:pPr>
        <w:autoSpaceDE w:val="0"/>
        <w:autoSpaceDN w:val="0"/>
        <w:adjustRightInd w:val="0"/>
        <w:jc w:val="both"/>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b/>
          <w:bCs/>
          <w:i/>
          <w:color w:val="2F5597" w:themeColor="accent1" w:themeShade="BF"/>
          <w:sz w:val="28"/>
          <w:szCs w:val="28"/>
        </w:rPr>
      </w:pPr>
      <w:r>
        <w:rPr>
          <w:rFonts w:ascii="Times New Roman" w:hAnsi="Times New Roman" w:cs="Times New Roman"/>
          <w:b/>
          <w:bCs/>
          <w:i/>
          <w:color w:val="2F5597" w:themeColor="accent1" w:themeShade="BF"/>
          <w:sz w:val="28"/>
          <w:szCs w:val="28"/>
        </w:rPr>
        <w:t>2. BILANCA (Obrazac: BIL)</w:t>
      </w:r>
    </w:p>
    <w:p>
      <w:pPr>
        <w:spacing w:after="0" w:line="240" w:lineRule="auto"/>
        <w:rPr>
          <w:rFonts w:ascii="Times New Roman" w:hAnsi="Times New Roman" w:cs="Times New Roman"/>
          <w:b/>
          <w:bCs/>
          <w:i/>
          <w:color w:val="2F5597" w:themeColor="accent1" w:themeShade="BF"/>
          <w:sz w:val="28"/>
          <w:szCs w:val="28"/>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Vrijednost aktive - ukupne imovine Općine (B001) na dan 31. prosinca 2022. godine iznosi 29.498.674,2 kn i u odnosu na stanje imovine 1. siječnja 2022. godine, evidentno je povećanje općinske imovine za 341.787,21 kn. Udjel nefinancijske imovine u ukupnoj aktivi iznosi 89,40 % dok financijska imovina u ukupnoj imovini Općine participira udjelom od 10,60 %.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Bilješka broj 2 – B002 NEFINANCIJSKA IMOVINA</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Ukupna vrijednost nefinancijske imovine Općine (B002) na dan bilance iznosi 26.372.435,68 kn i u odnosu na prethodnu godinu povećana je za 2.142.526,68 kn.</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strukturi ukupne nefinancijske imovine vrijednosno najveći udio zauzima proizvedena dugotrajna imovina (02) u vrijednosti od 24.627.740,08 kn, što je povećanje od 10.799.462,08 u odnosu na stanje 1. siječnja 2022. godine.</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 xml:space="preserve">Kod ove vrste imovine najznačajnije je spomenuti povećanje Šifra 0212 Poslovni objekti. </w:t>
      </w:r>
      <w:r>
        <w:rPr>
          <w:rFonts w:ascii="Times New Roman" w:hAnsi="Times New Roman" w:cs="Times New Roman"/>
          <w:color w:val="000000" w:themeColor="text1"/>
          <w:sz w:val="24"/>
          <w:szCs w:val="24"/>
          <w14:textFill>
            <w14:solidFill>
              <w14:schemeClr w14:val="tx1"/>
            </w14:solidFill>
          </w14:textFill>
        </w:rPr>
        <w:t>Navedeno povećanje iznosi 2.760.615,27 kn te 0214 koji se povećao za 3879518,79 kn.</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Bilješka broj 3 – Šifra 1 FINANCIJSKA IMOVINA</w:t>
      </w:r>
    </w:p>
    <w:p>
      <w:pPr>
        <w:jc w:val="both"/>
        <w:rPr>
          <w:rFonts w:ascii="Arial" w:hAnsi="Arial" w:eastAsia="Times New Roman" w:cs="Arial"/>
          <w:color w:val="0000FF"/>
          <w:sz w:val="18"/>
          <w:szCs w:val="18"/>
          <w:lang w:eastAsia="hr-HR"/>
        </w:rPr>
      </w:pPr>
      <w:r>
        <w:rPr>
          <w:rFonts w:ascii="Times New Roman" w:hAnsi="Times New Roman" w:cs="Times New Roman"/>
          <w:sz w:val="24"/>
          <w:szCs w:val="24"/>
        </w:rPr>
        <w:t xml:space="preserve">Vrijednost ukupne financijske imovine Općine iznosi 3.126.238,53 kn i bilježi smanjenje za 1.900.739,47 kn u odnosu na stanje prethodne godine. </w:t>
      </w:r>
      <w:r>
        <w:rPr>
          <w:rFonts w:ascii="Times New Roman" w:hAnsi="Times New Roman" w:cs="Times New Roman"/>
          <w:color w:val="000000" w:themeColor="text1"/>
          <w:sz w:val="24"/>
          <w:szCs w:val="24"/>
          <w14:textFill>
            <w14:solidFill>
              <w14:schemeClr w14:val="tx1"/>
            </w14:solidFill>
          </w14:textFill>
        </w:rPr>
        <w:t>Veliko smanjenje odnosi se na Šifru 1112 – Novac na računu kod tuzemnih poslovnih banaka koje s 31.12.2022. godine iznosi 381.695,90 što je  896.292,10 manje u odnosu na 01.01.2022. Potraživanja za dane zajmove bilježe pad na Zajmovi neprofitnim organizacijama, građanima i kućanstvima u tuzemstvu za 823.132,36 kn.</w:t>
      </w:r>
    </w:p>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i/>
          <w:color w:val="000000" w:themeColor="text1"/>
          <w:sz w:val="24"/>
          <w:szCs w:val="24"/>
          <w:u w:val="single"/>
          <w14:textFill>
            <w14:solidFill>
              <w14:schemeClr w14:val="tx1"/>
            </w14:solidFill>
          </w14:textFill>
        </w:rPr>
        <w:t>Novac u banci i blagajni</w:t>
      </w:r>
      <w:r>
        <w:rPr>
          <w:rFonts w:ascii="Times New Roman" w:hAnsi="Times New Roman" w:cs="Times New Roman"/>
          <w:color w:val="000000" w:themeColor="text1"/>
          <w:sz w:val="24"/>
          <w:szCs w:val="24"/>
          <w14:textFill>
            <w14:solidFill>
              <w14:schemeClr w14:val="tx1"/>
            </w14:solidFill>
          </w14:textFill>
        </w:rPr>
        <w:t xml:space="preserve"> (Šifra 11) – novčana sredstva na računima i u blagajni bilježe </w:t>
      </w:r>
      <w:r>
        <w:rPr>
          <w:rFonts w:hint="default" w:ascii="Times New Roman" w:hAnsi="Times New Roman" w:cs="Times New Roman"/>
          <w:color w:val="000000" w:themeColor="text1"/>
          <w:sz w:val="24"/>
          <w:szCs w:val="24"/>
          <w:lang w:val="hr-HR"/>
          <w14:textFill>
            <w14:solidFill>
              <w14:schemeClr w14:val="tx1"/>
            </w14:solidFill>
          </w14:textFill>
        </w:rPr>
        <w:t>smanjenje</w:t>
      </w:r>
      <w:r>
        <w:rPr>
          <w:rFonts w:ascii="Times New Roman" w:hAnsi="Times New Roman" w:cs="Times New Roman"/>
          <w:color w:val="000000" w:themeColor="text1"/>
          <w:sz w:val="24"/>
          <w:szCs w:val="24"/>
          <w14:textFill>
            <w14:solidFill>
              <w14:schemeClr w14:val="tx1"/>
            </w14:solidFill>
          </w14:textFill>
        </w:rPr>
        <w:t xml:space="preserve"> u odnosu na 01. siječanj 2022. godine. Na dan 31.12.2022. godine na skupini konta 11 Novac u banci i blagajni evidentirana su sredstva u iznosu od </w:t>
      </w:r>
      <w:r>
        <w:rPr>
          <w:rFonts w:hint="default" w:ascii="Times New Roman" w:hAnsi="Times New Roman" w:cs="Times New Roman"/>
          <w:color w:val="000000" w:themeColor="text1"/>
          <w:sz w:val="24"/>
          <w:szCs w:val="24"/>
          <w:lang w:val="hr-HR"/>
          <w14:textFill>
            <w14:solidFill>
              <w14:schemeClr w14:val="tx1"/>
            </w14:solidFill>
          </w14:textFill>
        </w:rPr>
        <w:t>383.040,70 k</w:t>
      </w:r>
      <w:r>
        <w:rPr>
          <w:rFonts w:ascii="Times New Roman" w:hAnsi="Times New Roman" w:cs="Times New Roman"/>
          <w:color w:val="000000" w:themeColor="text1"/>
          <w:sz w:val="24"/>
          <w:szCs w:val="24"/>
          <w14:textFill>
            <w14:solidFill>
              <w14:schemeClr w14:val="tx1"/>
            </w14:solidFill>
          </w14:textFill>
        </w:rPr>
        <w:t>n.</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hint="default" w:ascii="Times New Roman" w:hAnsi="Times New Roman" w:cs="Times New Roman"/>
          <w:sz w:val="24"/>
          <w:szCs w:val="24"/>
          <w:lang w:val="hr-HR"/>
        </w:rPr>
      </w:pPr>
      <w:r>
        <w:rPr>
          <w:rFonts w:ascii="Times New Roman" w:hAnsi="Times New Roman" w:cs="Times New Roman"/>
          <w:i/>
          <w:color w:val="000000" w:themeColor="text1"/>
          <w:sz w:val="24"/>
          <w:szCs w:val="24"/>
          <w:u w:val="single"/>
          <w14:textFill>
            <w14:solidFill>
              <w14:schemeClr w14:val="tx1"/>
            </w14:solidFill>
          </w14:textFill>
        </w:rPr>
        <w:t>Depoziti, jamčevni polozi i potraživanja od zaposlenih i ostalo</w:t>
      </w:r>
      <w:r>
        <w:rPr>
          <w:rFonts w:ascii="Times New Roman" w:hAnsi="Times New Roman" w:cs="Times New Roman"/>
          <w:color w:val="000000" w:themeColor="text1"/>
          <w:sz w:val="24"/>
          <w:szCs w:val="24"/>
          <w14:textFill>
            <w14:solidFill>
              <w14:schemeClr w14:val="tx1"/>
            </w14:solidFill>
          </w14:textFill>
        </w:rPr>
        <w:t xml:space="preserve"> (šifra 12) iznose ukupno </w:t>
      </w:r>
      <w:r>
        <w:rPr>
          <w:rFonts w:hint="default" w:ascii="Times New Roman" w:hAnsi="Times New Roman" w:cs="Times New Roman"/>
          <w:color w:val="000000" w:themeColor="text1"/>
          <w:sz w:val="24"/>
          <w:szCs w:val="24"/>
          <w:lang w:val="hr-HR"/>
          <w14:textFill>
            <w14:solidFill>
              <w14:schemeClr w14:val="tx1"/>
            </w14:solidFill>
          </w14:textFill>
        </w:rPr>
        <w:t>170.124,48, a prethodne godine  36.229,00 kn</w:t>
      </w:r>
      <w:r>
        <w:rPr>
          <w:rFonts w:ascii="Times New Roman" w:hAnsi="Times New Roman" w:cs="Times New Roman"/>
          <w:color w:val="000000" w:themeColor="text1"/>
          <w:sz w:val="24"/>
          <w:szCs w:val="24"/>
          <w14:textFill>
            <w14:solidFill>
              <w14:schemeClr w14:val="tx1"/>
            </w14:solidFill>
          </w14:textFill>
        </w:rPr>
        <w:t xml:space="preserve">. Ostala potraživanja (šifra 129) – Početno stanje od </w:t>
      </w:r>
      <w:r>
        <w:rPr>
          <w:rFonts w:hint="default" w:ascii="Times New Roman" w:hAnsi="Times New Roman" w:cs="Times New Roman"/>
          <w:color w:val="000000" w:themeColor="text1"/>
          <w:sz w:val="24"/>
          <w:szCs w:val="24"/>
          <w:lang w:val="hr-HR"/>
          <w14:textFill>
            <w14:solidFill>
              <w14:schemeClr w14:val="tx1"/>
            </w14:solidFill>
          </w14:textFill>
        </w:rPr>
        <w:t>36.229,00</w:t>
      </w:r>
      <w:r>
        <w:rPr>
          <w:rFonts w:ascii="Times New Roman" w:hAnsi="Times New Roman" w:cs="Times New Roman"/>
          <w:color w:val="000000" w:themeColor="text1"/>
          <w:sz w:val="24"/>
          <w:szCs w:val="24"/>
          <w14:textFill>
            <w14:solidFill>
              <w14:schemeClr w14:val="tx1"/>
            </w14:solidFill>
          </w14:textFill>
        </w:rPr>
        <w:t xml:space="preserve"> kn uvećano je tijekom godine za </w:t>
      </w:r>
      <w:r>
        <w:rPr>
          <w:rFonts w:hint="default" w:ascii="Times New Roman" w:hAnsi="Times New Roman" w:cs="Times New Roman"/>
          <w:color w:val="000000" w:themeColor="text1"/>
          <w:sz w:val="24"/>
          <w:szCs w:val="24"/>
          <w:lang w:val="hr-HR"/>
          <w14:textFill>
            <w14:solidFill>
              <w14:schemeClr w14:val="tx1"/>
            </w14:solidFill>
          </w14:textFill>
        </w:rPr>
        <w:t>133.141,58</w:t>
      </w:r>
      <w:r>
        <w:rPr>
          <w:rFonts w:ascii="Times New Roman" w:hAnsi="Times New Roman" w:cs="Times New Roman"/>
          <w:color w:val="000000" w:themeColor="text1"/>
          <w:sz w:val="24"/>
          <w:szCs w:val="24"/>
          <w14:textFill>
            <w14:solidFill>
              <w14:schemeClr w14:val="tx1"/>
            </w14:solidFill>
          </w14:textFill>
        </w:rPr>
        <w:t xml:space="preserve"> kn</w:t>
      </w:r>
      <w:r>
        <w:rPr>
          <w:rFonts w:hint="default" w:ascii="Times New Roman" w:hAnsi="Times New Roman" w:cs="Times New Roman"/>
          <w:color w:val="000000" w:themeColor="text1"/>
          <w:sz w:val="24"/>
          <w:szCs w:val="24"/>
          <w:lang w:val="hr-HR"/>
          <w14:textFill>
            <w14:solidFill>
              <w14:schemeClr w14:val="tx1"/>
            </w14:solidFill>
          </w14:textFill>
        </w:rPr>
        <w:t>.</w:t>
      </w:r>
    </w:p>
    <w:p>
      <w:pPr>
        <w:autoSpaceDE w:val="0"/>
        <w:autoSpaceDN w:val="0"/>
        <w:adjustRightInd w:val="0"/>
        <w:spacing w:after="0" w:line="240" w:lineRule="auto"/>
        <w:jc w:val="both"/>
        <w:rPr>
          <w:rFonts w:ascii="Times New Roman" w:hAnsi="Times New Roman" w:cs="Times New Roman"/>
          <w:color w:val="FF0000"/>
          <w:sz w:val="24"/>
          <w:szCs w:val="24"/>
        </w:rPr>
      </w:pPr>
    </w:p>
    <w:p>
      <w:pPr>
        <w:autoSpaceDE w:val="0"/>
        <w:autoSpaceDN w:val="0"/>
        <w:adjustRightInd w:val="0"/>
        <w:spacing w:after="0" w:line="240" w:lineRule="auto"/>
        <w:jc w:val="both"/>
        <w:rPr>
          <w:rFonts w:ascii="Times New Roman" w:hAnsi="Times New Roman" w:cs="Times New Roman"/>
          <w:color w:val="FF0000"/>
          <w:sz w:val="24"/>
          <w:szCs w:val="24"/>
        </w:rPr>
      </w:pPr>
    </w:p>
    <w:p>
      <w:pPr>
        <w:autoSpaceDE w:val="0"/>
        <w:autoSpaceDN w:val="0"/>
        <w:adjustRightInd w:val="0"/>
        <w:spacing w:after="0" w:line="240" w:lineRule="auto"/>
        <w:jc w:val="both"/>
        <w:rPr>
          <w:rFonts w:ascii="Times New Roman" w:hAnsi="Times New Roman" w:cs="Times New Roman"/>
          <w:color w:val="FF0000"/>
          <w:sz w:val="24"/>
          <w:szCs w:val="24"/>
        </w:rPr>
      </w:pPr>
    </w:p>
    <w:p>
      <w:pPr>
        <w:autoSpaceDE w:val="0"/>
        <w:autoSpaceDN w:val="0"/>
        <w:adjustRightInd w:val="0"/>
        <w:spacing w:after="0" w:line="240" w:lineRule="auto"/>
        <w:jc w:val="both"/>
        <w:rPr>
          <w:rFonts w:ascii="Times New Roman" w:hAnsi="Times New Roman" w:cs="Times New Roman"/>
          <w:color w:val="FF0000"/>
          <w:sz w:val="24"/>
          <w:szCs w:val="24"/>
        </w:rPr>
      </w:pPr>
    </w:p>
    <w:p>
      <w:pPr>
        <w:autoSpaceDE w:val="0"/>
        <w:autoSpaceDN w:val="0"/>
        <w:adjustRightInd w:val="0"/>
        <w:spacing w:after="0" w:line="240" w:lineRule="auto"/>
        <w:jc w:val="both"/>
        <w:rPr>
          <w:rFonts w:ascii="Times New Roman" w:hAnsi="Times New Roman" w:cs="Times New Roman"/>
          <w:color w:val="FF0000"/>
          <w:sz w:val="24"/>
          <w:szCs w:val="24"/>
        </w:rPr>
      </w:pPr>
    </w:p>
    <w:p>
      <w:pPr>
        <w:autoSpaceDE w:val="0"/>
        <w:autoSpaceDN w:val="0"/>
        <w:adjustRightInd w:val="0"/>
        <w:spacing w:after="0" w:line="240" w:lineRule="auto"/>
        <w:jc w:val="both"/>
        <w:rPr>
          <w:rFonts w:ascii="Times New Roman" w:hAnsi="Times New Roman" w:cs="Times New Roman"/>
          <w:color w:val="FF0000"/>
          <w:sz w:val="24"/>
          <w:szCs w:val="24"/>
        </w:rPr>
      </w:pPr>
    </w:p>
    <w:p>
      <w:pPr>
        <w:autoSpaceDE w:val="0"/>
        <w:autoSpaceDN w:val="0"/>
        <w:adjustRightInd w:val="0"/>
        <w:spacing w:after="0" w:line="240" w:lineRule="auto"/>
        <w:jc w:val="both"/>
        <w:rPr>
          <w:rFonts w:ascii="Times New Roman" w:hAnsi="Times New Roman" w:cs="Times New Roman"/>
          <w:color w:val="FF0000"/>
          <w:sz w:val="24"/>
          <w:szCs w:val="24"/>
        </w:rPr>
      </w:pPr>
    </w:p>
    <w:p>
      <w:pPr>
        <w:autoSpaceDE w:val="0"/>
        <w:autoSpaceDN w:val="0"/>
        <w:adjustRightInd w:val="0"/>
        <w:spacing w:after="0" w:line="240" w:lineRule="auto"/>
        <w:jc w:val="both"/>
        <w:rPr>
          <w:rFonts w:ascii="Times New Roman" w:hAnsi="Times New Roman" w:cs="Times New Roman"/>
          <w:color w:val="FF0000"/>
          <w:sz w:val="24"/>
          <w:szCs w:val="24"/>
        </w:rPr>
      </w:pPr>
    </w:p>
    <w:p>
      <w:pPr>
        <w:autoSpaceDE w:val="0"/>
        <w:autoSpaceDN w:val="0"/>
        <w:adjustRightInd w:val="0"/>
        <w:spacing w:after="0" w:line="240" w:lineRule="auto"/>
        <w:jc w:val="both"/>
        <w:rPr>
          <w:rFonts w:ascii="Times New Roman" w:hAnsi="Times New Roman" w:cs="Times New Roman"/>
          <w:color w:val="FF0000"/>
          <w:sz w:val="24"/>
          <w:szCs w:val="24"/>
        </w:rPr>
      </w:pPr>
    </w:p>
    <w:p>
      <w:pPr>
        <w:autoSpaceDE w:val="0"/>
        <w:autoSpaceDN w:val="0"/>
        <w:adjustRightInd w:val="0"/>
        <w:spacing w:after="0" w:line="240" w:lineRule="auto"/>
        <w:jc w:val="both"/>
        <w:rPr>
          <w:rFonts w:ascii="Times New Roman" w:hAnsi="Times New Roman" w:cs="Times New Roman"/>
          <w:color w:val="FF0000"/>
          <w:sz w:val="24"/>
          <w:szCs w:val="24"/>
        </w:rPr>
      </w:pPr>
    </w:p>
    <w:p>
      <w:pPr>
        <w:autoSpaceDE w:val="0"/>
        <w:autoSpaceDN w:val="0"/>
        <w:adjustRightInd w:val="0"/>
        <w:spacing w:after="0" w:line="240" w:lineRule="auto"/>
        <w:jc w:val="both"/>
        <w:rPr>
          <w:rFonts w:ascii="Times New Roman" w:hAnsi="Times New Roman" w:cs="Times New Roman"/>
          <w:color w:val="FF0000"/>
          <w:sz w:val="24"/>
          <w:szCs w:val="24"/>
        </w:rPr>
      </w:pPr>
    </w:p>
    <w:p>
      <w:pPr>
        <w:autoSpaceDE w:val="0"/>
        <w:autoSpaceDN w:val="0"/>
        <w:adjustRightInd w:val="0"/>
        <w:spacing w:after="0" w:line="240" w:lineRule="auto"/>
        <w:jc w:val="both"/>
        <w:rPr>
          <w:rFonts w:ascii="Times New Roman" w:hAnsi="Times New Roman" w:cs="Times New Roman"/>
          <w:b/>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Dionice i udjeli u glavnici</w:t>
      </w:r>
      <w:r>
        <w:rPr>
          <w:rFonts w:ascii="Times New Roman" w:hAnsi="Times New Roman" w:cs="Times New Roman"/>
          <w:sz w:val="24"/>
          <w:szCs w:val="24"/>
        </w:rPr>
        <w:t xml:space="preserve"> (šifra 15) – tijekom izvještajnog razdoblja nije bilo promjena u visini udjela u glavnici trgovačkih društava u javnom sektoru.</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u w:val="single"/>
        </w:rPr>
        <w:t>Potraživanje za prihode poslovanja</w:t>
      </w:r>
      <w:r>
        <w:rPr>
          <w:rFonts w:ascii="Times New Roman" w:hAnsi="Times New Roman" w:cs="Times New Roman"/>
          <w:sz w:val="24"/>
          <w:szCs w:val="24"/>
        </w:rPr>
        <w:t xml:space="preserve"> (šifra 16) – stanje ukupnog potraživanja za prihode poslovanja na dan 31.12.2022. iznosi </w:t>
      </w:r>
      <w:r>
        <w:rPr>
          <w:rFonts w:hint="default" w:ascii="Times New Roman" w:hAnsi="Times New Roman" w:cs="Times New Roman"/>
          <w:sz w:val="24"/>
          <w:szCs w:val="24"/>
          <w:lang w:val="hr-HR"/>
        </w:rPr>
        <w:t>587.184,00</w:t>
      </w:r>
      <w:r>
        <w:rPr>
          <w:rFonts w:ascii="Times New Roman" w:hAnsi="Times New Roman" w:cs="Times New Roman"/>
          <w:sz w:val="24"/>
          <w:szCs w:val="24"/>
        </w:rPr>
        <w:t xml:space="preserve"> kn</w:t>
      </w:r>
      <w:r>
        <w:rPr>
          <w:rFonts w:hint="default" w:ascii="Times New Roman" w:hAnsi="Times New Roman" w:cs="Times New Roman"/>
          <w:sz w:val="24"/>
          <w:szCs w:val="24"/>
          <w:lang w:val="hr-HR"/>
        </w:rPr>
        <w:t>, a ove godine iznosi 272.235,31 kn.</w:t>
      </w:r>
      <w:r>
        <w:rPr>
          <w:rFonts w:ascii="Times New Roman" w:hAnsi="Times New Roman" w:cs="Times New Roman"/>
          <w:sz w:val="24"/>
          <w:szCs w:val="24"/>
        </w:rPr>
        <w:t xml:space="preserve"> Smanjenje potraživanja zabilježeno je </w:t>
      </w:r>
      <w:r>
        <w:rPr>
          <w:rFonts w:hint="default" w:ascii="Times New Roman" w:hAnsi="Times New Roman" w:cs="Times New Roman"/>
          <w:sz w:val="24"/>
          <w:szCs w:val="24"/>
          <w:lang w:val="hr-HR"/>
        </w:rPr>
        <w:t>na šifri 165 i šifri 164, a povećanje na šifri 169.</w:t>
      </w:r>
      <w:r>
        <w:rPr>
          <w:rFonts w:ascii="Times New Roman" w:hAnsi="Times New Roman" w:cs="Times New Roman"/>
          <w:sz w:val="24"/>
          <w:szCs w:val="24"/>
        </w:rPr>
        <w:t xml:space="preserve">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Bilješka broj 4 – Šifra 2 OBVEZE</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Obveze bilježe </w:t>
      </w:r>
      <w:r>
        <w:rPr>
          <w:rFonts w:hint="default" w:ascii="Times New Roman" w:hAnsi="Times New Roman" w:cs="Times New Roman"/>
          <w:sz w:val="24"/>
          <w:szCs w:val="24"/>
          <w:lang w:val="hr-HR"/>
        </w:rPr>
        <w:t>smanjenje od 365.808,89</w:t>
      </w:r>
      <w:r>
        <w:rPr>
          <w:rFonts w:ascii="Times New Roman" w:hAnsi="Times New Roman" w:cs="Times New Roman"/>
          <w:sz w:val="24"/>
          <w:szCs w:val="24"/>
        </w:rPr>
        <w:t xml:space="preserve"> kn</w:t>
      </w:r>
      <w:r>
        <w:rPr>
          <w:rFonts w:hint="default" w:ascii="Times New Roman" w:hAnsi="Times New Roman" w:cs="Times New Roman"/>
          <w:sz w:val="24"/>
          <w:szCs w:val="24"/>
          <w:lang w:val="hr-HR"/>
        </w:rPr>
        <w:t>,</w:t>
      </w:r>
      <w:r>
        <w:rPr>
          <w:rFonts w:ascii="Times New Roman" w:hAnsi="Times New Roman" w:cs="Times New Roman"/>
          <w:sz w:val="24"/>
          <w:szCs w:val="24"/>
        </w:rPr>
        <w:t xml:space="preserve"> u odnosu na prethodnu godin</w:t>
      </w:r>
      <w:r>
        <w:rPr>
          <w:rFonts w:hint="default" w:ascii="Times New Roman" w:hAnsi="Times New Roman" w:cs="Times New Roman"/>
          <w:sz w:val="24"/>
          <w:szCs w:val="24"/>
          <w:lang w:val="hr-HR"/>
        </w:rPr>
        <w:t>u,</w:t>
      </w:r>
      <w:r>
        <w:rPr>
          <w:rFonts w:ascii="Times New Roman" w:hAnsi="Times New Roman" w:cs="Times New Roman"/>
          <w:sz w:val="24"/>
          <w:szCs w:val="24"/>
        </w:rPr>
        <w:t xml:space="preserve"> i iznose </w:t>
      </w:r>
      <w:r>
        <w:rPr>
          <w:rFonts w:hint="default" w:ascii="Times New Roman" w:hAnsi="Times New Roman" w:cs="Times New Roman"/>
          <w:sz w:val="24"/>
          <w:szCs w:val="24"/>
          <w:lang w:val="hr-HR"/>
        </w:rPr>
        <w:t>4.488.881,11</w:t>
      </w:r>
      <w:r>
        <w:rPr>
          <w:rFonts w:ascii="Times New Roman" w:hAnsi="Times New Roman" w:cs="Times New Roman"/>
          <w:sz w:val="24"/>
          <w:szCs w:val="24"/>
        </w:rPr>
        <w:t xml:space="preserve"> kn.</w:t>
      </w:r>
    </w:p>
    <w:p>
      <w:pPr>
        <w:autoSpaceDE w:val="0"/>
        <w:autoSpaceDN w:val="0"/>
        <w:adjustRightInd w:val="0"/>
        <w:spacing w:after="0" w:line="240" w:lineRule="auto"/>
        <w:jc w:val="both"/>
        <w:rPr>
          <w:rFonts w:ascii="Times New Roman" w:hAnsi="Times New Roman" w:cs="Times New Roman"/>
          <w:i/>
          <w:sz w:val="24"/>
          <w:szCs w:val="24"/>
          <w:u w:val="single"/>
        </w:rPr>
      </w:pPr>
    </w:p>
    <w:p>
      <w:pPr>
        <w:autoSpaceDE w:val="0"/>
        <w:autoSpaceDN w:val="0"/>
        <w:adjustRightInd w:val="0"/>
        <w:spacing w:after="0" w:line="240" w:lineRule="auto"/>
        <w:jc w:val="both"/>
        <w:rPr>
          <w:rFonts w:hint="default" w:ascii="Times New Roman" w:hAnsi="Times New Roman" w:cs="Times New Roman"/>
          <w:sz w:val="24"/>
          <w:szCs w:val="24"/>
          <w:lang w:val="hr-HR"/>
        </w:rPr>
      </w:pPr>
      <w:r>
        <w:rPr>
          <w:rFonts w:ascii="Times New Roman" w:hAnsi="Times New Roman" w:cs="Times New Roman"/>
          <w:i/>
          <w:sz w:val="24"/>
          <w:szCs w:val="24"/>
          <w:u w:val="single"/>
        </w:rPr>
        <w:t>Obveze za rashode poslovanja</w:t>
      </w:r>
      <w:r>
        <w:rPr>
          <w:rFonts w:ascii="Times New Roman" w:hAnsi="Times New Roman" w:cs="Times New Roman"/>
          <w:sz w:val="24"/>
          <w:szCs w:val="24"/>
        </w:rPr>
        <w:t xml:space="preserve"> (Šifra 23) su se </w:t>
      </w:r>
      <w:r>
        <w:rPr>
          <w:rFonts w:hint="default" w:ascii="Times New Roman" w:hAnsi="Times New Roman" w:cs="Times New Roman"/>
          <w:sz w:val="24"/>
          <w:szCs w:val="24"/>
          <w:lang w:val="hr-HR"/>
        </w:rPr>
        <w:t>povećale</w:t>
      </w:r>
      <w:r>
        <w:rPr>
          <w:rFonts w:ascii="Times New Roman" w:hAnsi="Times New Roman" w:cs="Times New Roman"/>
          <w:sz w:val="24"/>
          <w:szCs w:val="24"/>
        </w:rPr>
        <w:t xml:space="preserve"> u odnosu na isto razdoblje prethodne godine za </w:t>
      </w:r>
      <w:r>
        <w:rPr>
          <w:rFonts w:hint="default" w:ascii="Times New Roman" w:hAnsi="Times New Roman" w:cs="Times New Roman"/>
          <w:sz w:val="24"/>
          <w:szCs w:val="24"/>
          <w:lang w:val="hr-HR"/>
        </w:rPr>
        <w:t>315.802,26</w:t>
      </w:r>
      <w:r>
        <w:rPr>
          <w:rFonts w:ascii="Times New Roman" w:hAnsi="Times New Roman" w:cs="Times New Roman"/>
          <w:sz w:val="24"/>
          <w:szCs w:val="24"/>
        </w:rPr>
        <w:t xml:space="preserve"> te sada iznose </w:t>
      </w:r>
      <w:r>
        <w:rPr>
          <w:rFonts w:hint="default" w:ascii="Times New Roman" w:hAnsi="Times New Roman" w:cs="Times New Roman"/>
          <w:sz w:val="24"/>
          <w:szCs w:val="24"/>
          <w:lang w:val="hr-HR"/>
        </w:rPr>
        <w:t>501.459,26</w:t>
      </w:r>
      <w:r>
        <w:rPr>
          <w:rFonts w:ascii="Times New Roman" w:hAnsi="Times New Roman" w:cs="Times New Roman"/>
          <w:sz w:val="24"/>
          <w:szCs w:val="24"/>
        </w:rPr>
        <w:t xml:space="preserve"> kn. </w:t>
      </w:r>
      <w:r>
        <w:rPr>
          <w:rFonts w:hint="default" w:ascii="Times New Roman" w:hAnsi="Times New Roman" w:cs="Times New Roman"/>
          <w:sz w:val="24"/>
          <w:szCs w:val="24"/>
          <w:lang w:val="hr-HR"/>
        </w:rPr>
        <w:t>Najveće povećanje vidljivo je na ostalim tekućim obvezama koje trenutno iznose 302.188,12 kn. Obveze za materijalne rashode iznose 135.107,26 kn, a u prethodnoj godini su iznosile 68.194,00 kn.</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hint="default" w:ascii="Times New Roman" w:hAnsi="Times New Roman" w:cs="Times New Roman"/>
          <w:sz w:val="24"/>
          <w:szCs w:val="24"/>
          <w:lang w:val="hr-HR"/>
        </w:rPr>
      </w:pPr>
      <w:r>
        <w:rPr>
          <w:rFonts w:ascii="Times New Roman" w:hAnsi="Times New Roman" w:cs="Times New Roman"/>
          <w:i/>
          <w:sz w:val="24"/>
          <w:szCs w:val="24"/>
          <w:u w:val="single"/>
        </w:rPr>
        <w:t>Obveza za nabavu nefinancijske imovine</w:t>
      </w:r>
      <w:r>
        <w:rPr>
          <w:rFonts w:ascii="Times New Roman" w:hAnsi="Times New Roman" w:cs="Times New Roman"/>
          <w:sz w:val="24"/>
          <w:szCs w:val="24"/>
        </w:rPr>
        <w:t xml:space="preserve"> (Šifra 24) bilježe </w:t>
      </w:r>
      <w:r>
        <w:rPr>
          <w:rFonts w:hint="default" w:ascii="Times New Roman" w:hAnsi="Times New Roman" w:cs="Times New Roman"/>
          <w:sz w:val="24"/>
          <w:szCs w:val="24"/>
          <w:lang w:val="hr-HR"/>
        </w:rPr>
        <w:t>povećanje</w:t>
      </w:r>
      <w:r>
        <w:rPr>
          <w:rFonts w:ascii="Times New Roman" w:hAnsi="Times New Roman" w:cs="Times New Roman"/>
          <w:sz w:val="24"/>
          <w:szCs w:val="24"/>
        </w:rPr>
        <w:t xml:space="preserve"> u odnosu na stanje na dan 01. siječnja 2022. godine i </w:t>
      </w:r>
      <w:r>
        <w:rPr>
          <w:rFonts w:hint="default" w:ascii="Times New Roman" w:hAnsi="Times New Roman" w:cs="Times New Roman"/>
          <w:sz w:val="24"/>
          <w:szCs w:val="24"/>
          <w:lang w:val="hr-HR"/>
        </w:rPr>
        <w:t>iznose 20.239,64 k</w:t>
      </w:r>
      <w:r>
        <w:rPr>
          <w:rFonts w:ascii="Times New Roman" w:hAnsi="Times New Roman" w:cs="Times New Roman"/>
          <w:sz w:val="24"/>
          <w:szCs w:val="24"/>
        </w:rPr>
        <w:t>n</w:t>
      </w:r>
      <w:r>
        <w:rPr>
          <w:rFonts w:hint="default" w:ascii="Times New Roman" w:hAnsi="Times New Roman" w:cs="Times New Roman"/>
          <w:sz w:val="24"/>
          <w:szCs w:val="24"/>
          <w:lang w:val="hr-HR"/>
        </w:rPr>
        <w:t>.</w:t>
      </w:r>
    </w:p>
    <w:p>
      <w:pPr>
        <w:autoSpaceDE w:val="0"/>
        <w:autoSpaceDN w:val="0"/>
        <w:adjustRightInd w:val="0"/>
        <w:spacing w:after="0" w:line="240" w:lineRule="auto"/>
        <w:jc w:val="both"/>
        <w:rPr>
          <w:rFonts w:hint="default" w:ascii="Times New Roman" w:hAnsi="Times New Roman" w:cs="Times New Roman"/>
          <w:sz w:val="24"/>
          <w:szCs w:val="24"/>
          <w:lang w:val="hr-HR"/>
        </w:rPr>
      </w:pPr>
    </w:p>
    <w:p>
      <w:pPr>
        <w:autoSpaceDE w:val="0"/>
        <w:autoSpaceDN w:val="0"/>
        <w:adjustRightInd w:val="0"/>
        <w:spacing w:after="0" w:line="240" w:lineRule="auto"/>
        <w:jc w:val="both"/>
        <w:rPr>
          <w:rFonts w:hint="default" w:ascii="Times New Roman" w:hAnsi="Times New Roman" w:cs="Times New Roman"/>
          <w:sz w:val="24"/>
          <w:szCs w:val="24"/>
          <w:lang w:val="hr-HR"/>
        </w:rPr>
      </w:pPr>
      <w:r>
        <w:rPr>
          <w:rFonts w:ascii="Times New Roman" w:hAnsi="Times New Roman" w:cs="Times New Roman"/>
          <w:i/>
          <w:iCs/>
          <w:sz w:val="24"/>
          <w:szCs w:val="24"/>
          <w:u w:val="single"/>
        </w:rPr>
        <w:t>Obveze za kredite i zajmove (Šifra 26)</w:t>
      </w:r>
      <w:r>
        <w:rPr>
          <w:rFonts w:ascii="Times New Roman" w:hAnsi="Times New Roman" w:cs="Times New Roman"/>
          <w:sz w:val="24"/>
          <w:szCs w:val="24"/>
        </w:rPr>
        <w:t xml:space="preserve"> bilježe smanjenje </w:t>
      </w:r>
      <w:r>
        <w:rPr>
          <w:rFonts w:hint="default" w:ascii="Times New Roman" w:hAnsi="Times New Roman" w:cs="Times New Roman"/>
          <w:sz w:val="24"/>
          <w:szCs w:val="24"/>
          <w:lang w:val="hr-HR"/>
        </w:rPr>
        <w:t>te iznose 3.929.166,94 kn, a prethodne godine 4.628.902,00 kn.</w:t>
      </w:r>
      <w:r>
        <w:rPr>
          <w:rFonts w:ascii="Times New Roman" w:hAnsi="Times New Roman" w:cs="Times New Roman"/>
          <w:sz w:val="24"/>
          <w:szCs w:val="24"/>
        </w:rPr>
        <w:t xml:space="preserve">  </w:t>
      </w:r>
      <w:r>
        <w:rPr>
          <w:rFonts w:hint="default" w:ascii="Times New Roman" w:hAnsi="Times New Roman" w:cs="Times New Roman"/>
          <w:sz w:val="24"/>
          <w:szCs w:val="24"/>
          <w:lang w:val="hr-HR"/>
        </w:rPr>
        <w:t>N</w:t>
      </w:r>
      <w:r>
        <w:rPr>
          <w:rFonts w:ascii="Times New Roman" w:hAnsi="Times New Roman" w:cs="Times New Roman"/>
          <w:sz w:val="24"/>
          <w:szCs w:val="24"/>
        </w:rPr>
        <w:t xml:space="preserve">ajznačajnije smanjenje je kod </w:t>
      </w:r>
      <w:r>
        <w:rPr>
          <w:rFonts w:hint="default" w:ascii="Times New Roman" w:hAnsi="Times New Roman" w:cs="Times New Roman"/>
          <w:sz w:val="24"/>
          <w:szCs w:val="24"/>
          <w:lang w:val="hr-HR"/>
        </w:rPr>
        <w:t>obveze za kredite od tuzemnih kreditnih institucija izvan javnog sektora i to za 527.083,06 kn. U potpunosti ih čine obveze za kredite od tuzemnih kreditnih institucija izvan javnog sektora (Šifra 2643).</w:t>
      </w:r>
    </w:p>
    <w:p>
      <w:pPr>
        <w:autoSpaceDE w:val="0"/>
        <w:autoSpaceDN w:val="0"/>
        <w:adjustRightInd w:val="0"/>
        <w:spacing w:after="0" w:line="240" w:lineRule="auto"/>
        <w:jc w:val="both"/>
        <w:rPr>
          <w:rFonts w:hint="default" w:ascii="Times New Roman" w:hAnsi="Times New Roman" w:cs="Times New Roman"/>
          <w:sz w:val="24"/>
          <w:szCs w:val="24"/>
          <w:lang w:val="hr-HR"/>
        </w:rPr>
      </w:pPr>
    </w:p>
    <w:p>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Bilješka broj 5 – Šifra 9 VLASTITI IZVORI</w:t>
      </w:r>
    </w:p>
    <w:p>
      <w:pPr>
        <w:autoSpaceDE w:val="0"/>
        <w:autoSpaceDN w:val="0"/>
        <w:adjustRightInd w:val="0"/>
        <w:spacing w:after="0" w:line="240" w:lineRule="auto"/>
        <w:rPr>
          <w:rFonts w:ascii="Times New Roman" w:hAnsi="Times New Roman" w:cs="Times New Roman"/>
          <w:b/>
          <w:sz w:val="24"/>
          <w:szCs w:val="24"/>
        </w:rPr>
      </w:pP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Vlastiti izvori iznose </w:t>
      </w:r>
      <w:r>
        <w:rPr>
          <w:rFonts w:hint="default" w:ascii="Times New Roman" w:hAnsi="Times New Roman" w:cs="Times New Roman"/>
          <w:sz w:val="24"/>
          <w:szCs w:val="24"/>
          <w:lang w:val="hr-HR"/>
        </w:rPr>
        <w:t>25.009.793,10</w:t>
      </w:r>
      <w:r>
        <w:rPr>
          <w:rFonts w:ascii="Times New Roman" w:hAnsi="Times New Roman" w:cs="Times New Roman"/>
          <w:sz w:val="24"/>
          <w:szCs w:val="24"/>
        </w:rPr>
        <w:t xml:space="preserve"> kn i povećani su za </w:t>
      </w:r>
      <w:r>
        <w:rPr>
          <w:rFonts w:hint="default" w:ascii="Times New Roman" w:hAnsi="Times New Roman" w:cs="Times New Roman"/>
          <w:sz w:val="24"/>
          <w:szCs w:val="24"/>
          <w:lang w:val="hr-HR"/>
        </w:rPr>
        <w:t>607.596,10 kn.</w:t>
      </w:r>
      <w:r>
        <w:rPr>
          <w:rFonts w:ascii="Times New Roman" w:hAnsi="Times New Roman" w:cs="Times New Roman"/>
          <w:sz w:val="24"/>
          <w:szCs w:val="24"/>
        </w:rPr>
        <w:t xml:space="preserve"> Vlastiti izvori i ispravak vlastitih izvora (Šifra 91) iznose </w:t>
      </w:r>
      <w:r>
        <w:rPr>
          <w:rFonts w:hint="default" w:ascii="Times New Roman" w:hAnsi="Times New Roman" w:cs="Times New Roman"/>
          <w:sz w:val="24"/>
          <w:szCs w:val="24"/>
          <w:lang w:val="hr-HR"/>
        </w:rPr>
        <w:t>24.916.758,82 kn.</w:t>
      </w:r>
      <w:r>
        <w:rPr>
          <w:rFonts w:ascii="Times New Roman" w:hAnsi="Times New Roman" w:cs="Times New Roman"/>
          <w:sz w:val="24"/>
          <w:szCs w:val="24"/>
        </w:rPr>
        <w:t xml:space="preserve">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b/>
          <w:sz w:val="24"/>
          <w:szCs w:val="24"/>
        </w:rPr>
      </w:pPr>
    </w:p>
    <w:p>
      <w:pPr>
        <w:autoSpaceDE w:val="0"/>
        <w:autoSpaceDN w:val="0"/>
        <w:adjustRightInd w:val="0"/>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Bilješka broj 6 (Šifra 922) REZULTAT POSLOVANJA</w:t>
      </w: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Višak prihoda (Šifra 922) - na kraju proračunske godine utvrđen je </w:t>
      </w:r>
      <w:r>
        <w:rPr>
          <w:rFonts w:hint="default" w:ascii="Times New Roman" w:hAnsi="Times New Roman" w:cs="Times New Roman"/>
          <w:sz w:val="24"/>
          <w:szCs w:val="24"/>
          <w:lang w:val="hr-HR"/>
        </w:rPr>
        <w:t>manjak</w:t>
      </w:r>
      <w:r>
        <w:rPr>
          <w:rFonts w:ascii="Times New Roman" w:hAnsi="Times New Roman" w:cs="Times New Roman"/>
          <w:sz w:val="24"/>
          <w:szCs w:val="24"/>
        </w:rPr>
        <w:t xml:space="preserve"> prihoda i primitaka u ukupnom iznosu od </w:t>
      </w:r>
      <w:r>
        <w:rPr>
          <w:rFonts w:hint="default" w:ascii="Times New Roman" w:hAnsi="Times New Roman" w:cs="Times New Roman"/>
          <w:sz w:val="24"/>
          <w:szCs w:val="24"/>
          <w:lang w:val="hr-HR"/>
        </w:rPr>
        <w:t>173.776,68</w:t>
      </w:r>
      <w:r>
        <w:rPr>
          <w:rFonts w:ascii="Times New Roman" w:hAnsi="Times New Roman" w:cs="Times New Roman"/>
          <w:sz w:val="24"/>
          <w:szCs w:val="24"/>
        </w:rPr>
        <w:t xml:space="preserve"> kn koji je ostvaren, nakon propisane korekcije prihoda.</w:t>
      </w:r>
    </w:p>
    <w:p>
      <w:pPr>
        <w:autoSpaceDE w:val="0"/>
        <w:autoSpaceDN w:val="0"/>
        <w:adjustRightInd w:val="0"/>
        <w:spacing w:after="0" w:line="240" w:lineRule="auto"/>
        <w:jc w:val="both"/>
        <w:rPr>
          <w:rFonts w:ascii="Times New Roman" w:hAnsi="Times New Roman" w:cs="Times New Roman"/>
          <w:color w:val="FF0000"/>
          <w:sz w:val="24"/>
          <w:szCs w:val="24"/>
        </w:rPr>
      </w:pPr>
    </w:p>
    <w:p>
      <w:pPr>
        <w:autoSpaceDE w:val="0"/>
        <w:autoSpaceDN w:val="0"/>
        <w:adjustRightInd w:val="0"/>
        <w:spacing w:after="0" w:line="240" w:lineRule="auto"/>
        <w:jc w:val="both"/>
        <w:rPr>
          <w:rFonts w:ascii="Times New Roman" w:hAnsi="Times New Roman" w:cs="Times New Roman"/>
          <w:color w:val="FF0000"/>
          <w:sz w:val="24"/>
          <w:szCs w:val="24"/>
        </w:rPr>
      </w:pPr>
    </w:p>
    <w:p>
      <w:pPr>
        <w:autoSpaceDE w:val="0"/>
        <w:autoSpaceDN w:val="0"/>
        <w:adjustRightInd w:val="0"/>
        <w:spacing w:after="0" w:line="240" w:lineRule="auto"/>
        <w:jc w:val="both"/>
        <w:rPr>
          <w:rFonts w:ascii="Times New Roman" w:hAnsi="Times New Roman" w:cs="Times New Roman"/>
          <w:color w:val="FF0000"/>
          <w:sz w:val="24"/>
          <w:szCs w:val="24"/>
        </w:rPr>
      </w:pPr>
    </w:p>
    <w:p>
      <w:pPr>
        <w:rPr>
          <w:rFonts w:ascii="Times New Roman" w:hAnsi="Times New Roman" w:cs="Times New Roman"/>
          <w:b/>
          <w:bCs/>
          <w:i/>
          <w:color w:val="2F5597" w:themeColor="accent1" w:themeShade="BF"/>
          <w:sz w:val="28"/>
          <w:szCs w:val="28"/>
        </w:rPr>
      </w:pPr>
      <w:r>
        <w:rPr>
          <w:rFonts w:ascii="Times New Roman" w:hAnsi="Times New Roman" w:cs="Times New Roman"/>
          <w:b/>
          <w:bCs/>
          <w:i/>
          <w:color w:val="2F5597" w:themeColor="accent1" w:themeShade="BF"/>
          <w:sz w:val="28"/>
          <w:szCs w:val="28"/>
        </w:rPr>
        <w:br w:type="page"/>
      </w:r>
    </w:p>
    <w:p>
      <w:pPr>
        <w:spacing w:after="0" w:line="240" w:lineRule="auto"/>
        <w:rPr>
          <w:rFonts w:ascii="Times New Roman" w:hAnsi="Times New Roman" w:cs="Times New Roman"/>
          <w:b/>
          <w:bCs/>
          <w:i/>
          <w:color w:val="2F5597" w:themeColor="accent1" w:themeShade="BF"/>
          <w:sz w:val="28"/>
          <w:szCs w:val="28"/>
        </w:rPr>
      </w:pPr>
      <w:r>
        <w:rPr>
          <w:rFonts w:ascii="Times New Roman" w:hAnsi="Times New Roman" w:cs="Times New Roman"/>
          <w:b/>
          <w:bCs/>
          <w:i/>
          <w:color w:val="2F5597" w:themeColor="accent1" w:themeShade="BF"/>
          <w:sz w:val="28"/>
          <w:szCs w:val="28"/>
        </w:rPr>
        <w:t>3 . IZVJEŠTAJ O PRIHODIMA I RASHODIMA, PRIMICIMA I IZDACIMA (Obrazac: PRRAS)</w:t>
      </w:r>
    </w:p>
    <w:p>
      <w:pPr>
        <w:spacing w:after="0" w:line="240" w:lineRule="auto"/>
        <w:rPr>
          <w:rFonts w:ascii="Times New Roman" w:hAnsi="Times New Roman" w:cs="Times New Roman"/>
          <w:b/>
          <w:bCs/>
          <w:i/>
          <w:color w:val="2F5597" w:themeColor="accent1" w:themeShade="BF"/>
          <w:sz w:val="28"/>
          <w:szCs w:val="28"/>
        </w:rPr>
      </w:pPr>
    </w:p>
    <w:p>
      <w:pPr>
        <w:autoSpaceDE w:val="0"/>
        <w:autoSpaceDN w:val="0"/>
        <w:adjustRightInd w:val="0"/>
        <w:spacing w:after="0" w:line="240" w:lineRule="auto"/>
        <w:jc w:val="both"/>
        <w:rPr>
          <w:rFonts w:hint="default" w:ascii="Times New Roman" w:hAnsi="Times New Roman" w:cs="Times New Roman"/>
          <w:color w:val="000000" w:themeColor="text1"/>
          <w:sz w:val="24"/>
          <w:szCs w:val="24"/>
          <w:lang w:val="hr-HR"/>
          <w14:textFill>
            <w14:solidFill>
              <w14:schemeClr w14:val="tx1"/>
            </w14:solidFill>
          </w14:textFill>
        </w:rPr>
      </w:pPr>
      <w:r>
        <w:rPr>
          <w:rFonts w:ascii="Times New Roman" w:hAnsi="Times New Roman" w:cs="Times New Roman"/>
          <w:sz w:val="24"/>
          <w:szCs w:val="24"/>
        </w:rPr>
        <w:t xml:space="preserve">Ukupni prihodi i primici (Šifra X678) ostvareni su u izvještajnom razdoblju u iznosu od </w:t>
      </w:r>
      <w:r>
        <w:rPr>
          <w:rFonts w:hint="default" w:ascii="Times New Roman" w:hAnsi="Times New Roman" w:cs="Times New Roman"/>
          <w:sz w:val="24"/>
          <w:szCs w:val="24"/>
          <w:lang w:val="hr-HR"/>
        </w:rPr>
        <w:t>8.294.489,56</w:t>
      </w:r>
      <w:r>
        <w:rPr>
          <w:rFonts w:ascii="Times New Roman" w:hAnsi="Times New Roman" w:cs="Times New Roman"/>
          <w:sz w:val="24"/>
          <w:szCs w:val="24"/>
        </w:rPr>
        <w:t xml:space="preserve"> kn </w:t>
      </w:r>
      <w:r>
        <w:rPr>
          <w:rFonts w:hint="default" w:ascii="Times New Roman" w:hAnsi="Times New Roman" w:cs="Times New Roman"/>
          <w:sz w:val="24"/>
          <w:szCs w:val="24"/>
          <w:lang w:val="hr-HR"/>
        </w:rPr>
        <w:t xml:space="preserve">, dok su prošle godine iznosili 15.745.832,00 kn. </w:t>
      </w:r>
      <w:r>
        <w:rPr>
          <w:rFonts w:ascii="Times New Roman" w:hAnsi="Times New Roman" w:cs="Times New Roman"/>
          <w:color w:val="000000" w:themeColor="text1"/>
          <w:sz w:val="24"/>
          <w:szCs w:val="24"/>
          <w14:textFill>
            <w14:solidFill>
              <w14:schemeClr w14:val="tx1"/>
            </w14:solidFill>
          </w14:textFill>
        </w:rPr>
        <w:t>U strukturi ukupno ostvarenih prihoda i primitaka najveći udio imaju prihodi poslovanja</w:t>
      </w:r>
      <w:r>
        <w:rPr>
          <w:rFonts w:hint="default" w:ascii="Times New Roman" w:hAnsi="Times New Roman" w:cs="Times New Roman"/>
          <w:color w:val="000000" w:themeColor="text1"/>
          <w:sz w:val="24"/>
          <w:szCs w:val="24"/>
          <w:lang w:val="hr-HR"/>
          <w14:textFill>
            <w14:solidFill>
              <w14:schemeClr w14:val="tx1"/>
            </w14:solidFill>
          </w14:textFill>
        </w:rPr>
        <w:t>, a u prihodima poslovanja najveći udio čine pomoći iz inozemstva i od subjekata unutar općeg proračuna.</w:t>
      </w:r>
    </w:p>
    <w:p>
      <w:pPr>
        <w:autoSpaceDE w:val="0"/>
        <w:autoSpaceDN w:val="0"/>
        <w:adjustRightInd w:val="0"/>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pPr>
        <w:autoSpaceDE w:val="0"/>
        <w:autoSpaceDN w:val="0"/>
        <w:adjustRightInd w:val="0"/>
        <w:spacing w:after="0" w:line="240" w:lineRule="auto"/>
        <w:jc w:val="both"/>
        <w:rPr>
          <w:rFonts w:hint="default" w:ascii="Times New Roman" w:hAnsi="Times New Roman" w:cs="Times New Roman"/>
          <w:b/>
          <w:sz w:val="24"/>
          <w:szCs w:val="24"/>
          <w:lang w:val="hr-HR"/>
        </w:rPr>
      </w:pPr>
      <w:r>
        <w:rPr>
          <w:rFonts w:ascii="Times New Roman" w:hAnsi="Times New Roman" w:cs="Times New Roman"/>
          <w:sz w:val="24"/>
          <w:szCs w:val="24"/>
        </w:rPr>
        <w:t xml:space="preserve">Ukupni rashodi i izdaci (Šifra Y345) ostvareni su u istom razdoblju u iznosu od </w:t>
      </w:r>
      <w:r>
        <w:rPr>
          <w:rFonts w:hint="default" w:ascii="Times New Roman" w:hAnsi="Times New Roman" w:cs="Times New Roman"/>
          <w:sz w:val="24"/>
          <w:szCs w:val="24"/>
          <w:lang w:val="hr-HR"/>
        </w:rPr>
        <w:t xml:space="preserve">9.415.302.44 </w:t>
      </w:r>
      <w:r>
        <w:rPr>
          <w:rFonts w:ascii="Times New Roman" w:hAnsi="Times New Roman" w:cs="Times New Roman"/>
          <w:sz w:val="24"/>
          <w:szCs w:val="24"/>
        </w:rPr>
        <w:t>kn</w:t>
      </w:r>
      <w:r>
        <w:rPr>
          <w:rFonts w:hint="default" w:ascii="Times New Roman" w:hAnsi="Times New Roman" w:cs="Times New Roman"/>
          <w:sz w:val="24"/>
          <w:szCs w:val="24"/>
          <w:lang w:val="hr-HR"/>
        </w:rPr>
        <w:t>, dok su prošle godine iznosili 14.997.264,00 kn.</w:t>
      </w: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 xml:space="preserve">Bilješka broj </w:t>
      </w:r>
      <w:r>
        <w:rPr>
          <w:rFonts w:hint="default" w:ascii="Times New Roman" w:hAnsi="Times New Roman" w:cs="Times New Roman"/>
          <w:b/>
          <w:sz w:val="24"/>
          <w:szCs w:val="24"/>
          <w:lang w:val="hr-HR"/>
        </w:rPr>
        <w:t>7</w:t>
      </w:r>
      <w:r>
        <w:rPr>
          <w:rFonts w:ascii="Times New Roman" w:hAnsi="Times New Roman" w:cs="Times New Roman"/>
          <w:b/>
          <w:sz w:val="24"/>
          <w:szCs w:val="24"/>
        </w:rPr>
        <w:t xml:space="preserve"> – Šifra 6 PRIHODI POSLOVANJA</w:t>
      </w:r>
    </w:p>
    <w:p>
      <w:pPr>
        <w:autoSpaceDE w:val="0"/>
        <w:autoSpaceDN w:val="0"/>
        <w:adjustRightInd w:val="0"/>
        <w:spacing w:after="0" w:line="240" w:lineRule="auto"/>
        <w:jc w:val="both"/>
        <w:rPr>
          <w:rFonts w:hint="default" w:ascii="Times New Roman" w:hAnsi="Times New Roman" w:cs="Times New Roman"/>
          <w:sz w:val="24"/>
          <w:szCs w:val="24"/>
          <w:lang w:val="hr-HR"/>
        </w:rPr>
      </w:pPr>
      <w:r>
        <w:rPr>
          <w:rFonts w:ascii="Times New Roman" w:hAnsi="Times New Roman" w:cs="Times New Roman"/>
          <w:sz w:val="24"/>
          <w:szCs w:val="24"/>
        </w:rPr>
        <w:t xml:space="preserve">Prihodi poslovanja (Šifra 6) u 2022. godini ostvareni su u iznosu </w:t>
      </w:r>
      <w:r>
        <w:rPr>
          <w:rFonts w:hint="default" w:ascii="Times New Roman" w:hAnsi="Times New Roman" w:cs="Times New Roman"/>
          <w:sz w:val="24"/>
          <w:szCs w:val="24"/>
          <w:lang w:val="hr-HR"/>
        </w:rPr>
        <w:t>od 8.294.489,56 kn, dok su prošle godine iznosili 11.145.067,00 kn</w:t>
      </w:r>
      <w:r>
        <w:rPr>
          <w:rFonts w:ascii="Times New Roman" w:hAnsi="Times New Roman" w:cs="Times New Roman"/>
          <w:sz w:val="24"/>
          <w:szCs w:val="24"/>
        </w:rPr>
        <w:t xml:space="preserve">.  U strukturi ovih prihoda najznačajniju stavku čine </w:t>
      </w:r>
      <w:r>
        <w:rPr>
          <w:rFonts w:hint="default" w:ascii="Times New Roman" w:hAnsi="Times New Roman" w:cs="Times New Roman"/>
          <w:sz w:val="24"/>
          <w:szCs w:val="24"/>
          <w:lang w:val="hr-HR"/>
        </w:rPr>
        <w:t>pomoći iz inozemstva i od subjekata unutar općeg proračuna koje iznose 4.465.280,68 kn. Porez i prirez na dohodak se povećao u dijelu poreza i prireza na dohodak od nesamostalnog rada za 500.239,99 kn te sada iznosi 2.019.199,99 kn. Dok povrata poreza i prireza na dohodak po godišnjoj prijavi nemamo 2022. godine, a prethodne godine iznosili su 415.525,00 kn. Porezi na imovinu najvećim dijelom su se povećali kod povremenih poreza na imovinu i iznose 183.623,41 kn. Kod kapitalnih pomoći proračunu vidljivo je smanjenje za 2.499.313 kn te sada iznosi 374.484,00 kn. Donacija od pravnih i fizičkih osoba izvan općeg proračuna nije bilo, dok su prošle godine iznosile 36.766,00 kn. Preneseni višak prihoda poslovanja iznosi 15.258.305,43, dok  su prošle godine iznosili 10.178.063,00 kn. Nenaplaćeni obračunati prihodi poslovanja iznose 266.810,96 kn.</w:t>
      </w:r>
    </w:p>
    <w:p>
      <w:pPr>
        <w:autoSpaceDE w:val="0"/>
        <w:autoSpaceDN w:val="0"/>
        <w:adjustRightInd w:val="0"/>
        <w:spacing w:after="0" w:line="240" w:lineRule="auto"/>
        <w:jc w:val="both"/>
        <w:rPr>
          <w:rFonts w:ascii="Times New Roman" w:hAnsi="Times New Roman" w:cs="Times New Roman"/>
          <w:b/>
          <w:i/>
          <w:sz w:val="24"/>
          <w:szCs w:val="24"/>
          <w:u w:val="single"/>
        </w:rPr>
      </w:pP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 xml:space="preserve">Bilješka broj </w:t>
      </w:r>
      <w:r>
        <w:rPr>
          <w:rFonts w:hint="default" w:ascii="Times New Roman" w:hAnsi="Times New Roman" w:cs="Times New Roman"/>
          <w:b/>
          <w:sz w:val="24"/>
          <w:szCs w:val="24"/>
          <w:lang w:val="hr-HR"/>
        </w:rPr>
        <w:t xml:space="preserve">8 </w:t>
      </w:r>
      <w:r>
        <w:rPr>
          <w:rFonts w:ascii="Times New Roman" w:hAnsi="Times New Roman" w:cs="Times New Roman"/>
          <w:b/>
          <w:sz w:val="24"/>
          <w:szCs w:val="24"/>
        </w:rPr>
        <w:t>– Šifra 3 RASHODI POSLOVANJA</w:t>
      </w:r>
    </w:p>
    <w:p>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 xml:space="preserve">Rashodi poslovanja (Šifra 3) ostvareni su u ukupnom iznosu od </w:t>
      </w:r>
      <w:r>
        <w:rPr>
          <w:rFonts w:hint="default" w:ascii="Times New Roman" w:hAnsi="Times New Roman" w:cs="Times New Roman"/>
          <w:sz w:val="24"/>
          <w:szCs w:val="24"/>
          <w:lang w:val="hr-HR"/>
        </w:rPr>
        <w:t>5.873.717,93</w:t>
      </w:r>
      <w:r>
        <w:rPr>
          <w:rFonts w:ascii="Times New Roman" w:hAnsi="Times New Roman" w:cs="Times New Roman"/>
          <w:sz w:val="24"/>
          <w:szCs w:val="24"/>
        </w:rPr>
        <w:t xml:space="preserve"> kn, </w:t>
      </w:r>
      <w:r>
        <w:rPr>
          <w:rFonts w:hint="default" w:ascii="Times New Roman" w:hAnsi="Times New Roman" w:cs="Times New Roman"/>
          <w:sz w:val="24"/>
          <w:szCs w:val="24"/>
          <w:lang w:val="hr-HR"/>
        </w:rPr>
        <w:t xml:space="preserve">dok su prošle godine iznosili 6.089.859,00 kn. Najveći udio u rashodima čine materijalni rashodi i iznose 2.617.258,92 kn. Rashodi za usluge iznose 1.905.377,84 kn. Na usluge tekućeg investicijskog održavanja utrošeno je 998.896,17 kn. Na intelektualne i osobne usluge utrošeno je 509.910,52 kn. Financijski rashodi iznose 83.000,25 kn, a najveći dio čine kamate za primljene kredite i zajmove od kreditnih i ostalih financijskih institucija izvan javnog sektora te iznose 64.747,89 kn. Subvencija nije bilo. Prijenosi proračunskim korisnicima su se u odnosu na pprethodnu godinu smanjili za 458.533,22 kn i iznose 69.496,78 kn. Naknade građanim i kućanstvima u novcu iznose 212.666,52 kn, a u naravi 21.299,30 kn. Kapitalne donacije neprofitnim organizacijama iznose 515.000,00 kn, dok tekuće donacije u novcu iznose 861.566,17 kn te čine najveći udio ostalih rashoda koji iznose 1.517.000,17 kn. </w:t>
      </w:r>
      <w:r>
        <w:rPr>
          <w:rFonts w:hint="default" w:ascii="Times New Roman" w:hAnsi="Times New Roman" w:cs="Times New Roman"/>
          <w:sz w:val="24"/>
          <w:szCs w:val="24"/>
          <w:lang w:val="hr-HR"/>
        </w:rPr>
        <w:br w:type="textWrapping"/>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Bilješka broj </w:t>
      </w:r>
      <w:r>
        <w:rPr>
          <w:rFonts w:hint="default" w:ascii="Times New Roman" w:hAnsi="Times New Roman" w:cs="Times New Roman"/>
          <w:b/>
          <w:sz w:val="24"/>
          <w:szCs w:val="24"/>
          <w:lang w:val="hr-HR"/>
        </w:rPr>
        <w:t>9</w:t>
      </w:r>
      <w:r>
        <w:rPr>
          <w:rFonts w:ascii="Times New Roman" w:hAnsi="Times New Roman" w:cs="Times New Roman"/>
          <w:b/>
          <w:sz w:val="24"/>
          <w:szCs w:val="24"/>
        </w:rPr>
        <w:t xml:space="preserve"> – Šifra 4 RASHODI ZA NABAVU NEFINANCIJSKE IMOVINE</w:t>
      </w:r>
    </w:p>
    <w:p>
      <w:pPr>
        <w:autoSpaceDE w:val="0"/>
        <w:autoSpaceDN w:val="0"/>
        <w:adjustRightInd w:val="0"/>
        <w:spacing w:after="0" w:line="240" w:lineRule="auto"/>
        <w:jc w:val="both"/>
        <w:rPr>
          <w:rFonts w:hint="default" w:ascii="Times New Roman" w:hAnsi="Times New Roman" w:cs="Times New Roman"/>
          <w:sz w:val="24"/>
          <w:szCs w:val="24"/>
          <w:lang w:val="hr-HR"/>
        </w:rPr>
      </w:pPr>
      <w:r>
        <w:rPr>
          <w:rFonts w:ascii="Times New Roman" w:hAnsi="Times New Roman" w:cs="Times New Roman"/>
          <w:sz w:val="24"/>
          <w:szCs w:val="24"/>
        </w:rPr>
        <w:t xml:space="preserve">Rashodi za nabavu nefinancijske imovine (Šifra 4) izvršeni su u iznosu </w:t>
      </w:r>
      <w:r>
        <w:rPr>
          <w:rFonts w:hint="default" w:ascii="Times New Roman" w:hAnsi="Times New Roman" w:cs="Times New Roman"/>
          <w:sz w:val="24"/>
          <w:szCs w:val="24"/>
          <w:lang w:val="hr-HR"/>
        </w:rPr>
        <w:t>2.841.849,10</w:t>
      </w:r>
      <w:r>
        <w:rPr>
          <w:rFonts w:ascii="Times New Roman" w:hAnsi="Times New Roman" w:cs="Times New Roman"/>
          <w:sz w:val="24"/>
          <w:szCs w:val="24"/>
        </w:rPr>
        <w:t xml:space="preserve"> kn</w:t>
      </w:r>
      <w:r>
        <w:rPr>
          <w:rFonts w:hint="default" w:ascii="Times New Roman" w:hAnsi="Times New Roman" w:cs="Times New Roman"/>
          <w:sz w:val="24"/>
          <w:szCs w:val="24"/>
          <w:lang w:val="hr-HR"/>
        </w:rPr>
        <w:t>, dok su prethodne godine iznosili 7.796.772,00 kn. Najveći udio čine ceste, željeznice i ostali prometni objekti u iznosu od 1.458.300,92 kn. Povećanje također bilježe i postojenja i oprema (Šifra 422) i iznose 557.080,08 kn.</w:t>
      </w:r>
    </w:p>
    <w:p>
      <w:pPr>
        <w:autoSpaceDE w:val="0"/>
        <w:autoSpaceDN w:val="0"/>
        <w:adjustRightInd w:val="0"/>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pPr>
        <w:autoSpaceDE w:val="0"/>
        <w:autoSpaceDN w:val="0"/>
        <w:adjustRightInd w:val="0"/>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Bilješka broj 1</w:t>
      </w:r>
      <w:r>
        <w:rPr>
          <w:rFonts w:hint="default" w:ascii="Times New Roman" w:hAnsi="Times New Roman" w:cs="Times New Roman"/>
          <w:b/>
          <w:color w:val="000000" w:themeColor="text1"/>
          <w:sz w:val="24"/>
          <w:szCs w:val="24"/>
          <w:lang w:val="hr-HR"/>
          <w14:textFill>
            <w14:solidFill>
              <w14:schemeClr w14:val="tx1"/>
            </w14:solidFill>
          </w14:textFill>
        </w:rPr>
        <w:t>0</w:t>
      </w:r>
      <w:r>
        <w:rPr>
          <w:rFonts w:ascii="Times New Roman" w:hAnsi="Times New Roman" w:cs="Times New Roman"/>
          <w:b/>
          <w:color w:val="000000" w:themeColor="text1"/>
          <w:sz w:val="24"/>
          <w:szCs w:val="24"/>
          <w14:textFill>
            <w14:solidFill>
              <w14:schemeClr w14:val="tx1"/>
            </w14:solidFill>
          </w14:textFill>
        </w:rPr>
        <w:t xml:space="preserve"> – Šifra 5 IZDACI ZA FINANCIJSKU IMOVINU I OTPLATE ZAJMOVA</w:t>
      </w:r>
    </w:p>
    <w:p>
      <w:pPr>
        <w:rPr>
          <w:rFonts w:hint="default" w:ascii="Times New Roman" w:hAnsi="Times New Roman" w:cs="Times New Roman"/>
          <w:bCs/>
          <w:color w:val="000000" w:themeColor="text1"/>
          <w:sz w:val="24"/>
          <w:szCs w:val="24"/>
          <w:lang w:val="hr-HR"/>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U odnosu na 2021. godinu</w:t>
      </w:r>
      <w:r>
        <w:rPr>
          <w:rFonts w:hint="default" w:ascii="Times New Roman" w:hAnsi="Times New Roman" w:cs="Times New Roman"/>
          <w:bCs/>
          <w:color w:val="000000" w:themeColor="text1"/>
          <w:sz w:val="24"/>
          <w:szCs w:val="24"/>
          <w:lang w:val="hr-HR"/>
          <w14:textFill>
            <w14:solidFill>
              <w14:schemeClr w14:val="tx1"/>
            </w14:solidFill>
          </w14:textFill>
        </w:rPr>
        <w:t xml:space="preserve"> bilježimo smanjenje za 589.102,41 kn što u konačnici iznosi </w:t>
      </w:r>
      <w:r>
        <w:rPr>
          <w:rFonts w:ascii="Times New Roman" w:hAnsi="Times New Roman" w:cs="Times New Roman"/>
          <w:bCs/>
          <w:color w:val="000000" w:themeColor="text1"/>
          <w:sz w:val="24"/>
          <w:szCs w:val="24"/>
          <w14:textFill>
            <w14:solidFill>
              <w14:schemeClr w14:val="tx1"/>
            </w14:solidFill>
          </w14:textFill>
        </w:rPr>
        <w:t xml:space="preserve"> </w:t>
      </w:r>
      <w:r>
        <w:rPr>
          <w:rFonts w:hint="default" w:ascii="Times New Roman" w:hAnsi="Times New Roman" w:cs="Times New Roman"/>
          <w:bCs/>
          <w:color w:val="000000" w:themeColor="text1"/>
          <w:sz w:val="24"/>
          <w:szCs w:val="24"/>
          <w:lang w:val="hr-HR"/>
          <w14:textFill>
            <w14:solidFill>
              <w14:schemeClr w14:val="tx1"/>
            </w14:solidFill>
          </w14:textFill>
        </w:rPr>
        <w:t>699.735,41 kn. Udio od 75,32% čini otplata glavnice primljenih kredita od tuzemnih kreditnih institucija izvan javnog sektora (Šifra 5443) i iznosi 527.083,37 kn. Otplata glavnice primljenih zajmova od državnog proračuna iznosi 172.652,04 kn.</w:t>
      </w:r>
    </w:p>
    <w:p>
      <w:pPr>
        <w:rPr>
          <w:rFonts w:hint="default" w:ascii="Times New Roman" w:hAnsi="Times New Roman" w:cs="Times New Roman"/>
          <w:bCs/>
          <w:color w:val="000000" w:themeColor="text1"/>
          <w:sz w:val="24"/>
          <w:szCs w:val="24"/>
          <w:lang w:val="hr-HR"/>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U izvještajnom razdoblju ostvaren je </w:t>
      </w:r>
      <w:r>
        <w:rPr>
          <w:rFonts w:hint="default" w:ascii="Times New Roman" w:hAnsi="Times New Roman" w:cs="Times New Roman"/>
          <w:color w:val="000000" w:themeColor="text1"/>
          <w:sz w:val="24"/>
          <w:szCs w:val="24"/>
          <w:lang w:val="hr-HR"/>
          <w14:textFill>
            <w14:solidFill>
              <w14:schemeClr w14:val="tx1"/>
            </w14:solidFill>
          </w14:textFill>
        </w:rPr>
        <w:t>manjak</w:t>
      </w:r>
      <w:r>
        <w:rPr>
          <w:rFonts w:ascii="Times New Roman" w:hAnsi="Times New Roman" w:cs="Times New Roman"/>
          <w:color w:val="000000" w:themeColor="text1"/>
          <w:sz w:val="24"/>
          <w:szCs w:val="24"/>
          <w14:textFill>
            <w14:solidFill>
              <w14:schemeClr w14:val="tx1"/>
            </w14:solidFill>
          </w14:textFill>
        </w:rPr>
        <w:t xml:space="preserve"> prihoda i primitaka u iznosu od </w:t>
      </w:r>
      <w:r>
        <w:rPr>
          <w:rFonts w:hint="default" w:ascii="Times New Roman" w:hAnsi="Times New Roman" w:cs="Times New Roman"/>
          <w:color w:val="000000" w:themeColor="text1"/>
          <w:sz w:val="24"/>
          <w:szCs w:val="24"/>
          <w:lang w:val="hr-HR"/>
          <w14:textFill>
            <w14:solidFill>
              <w14:schemeClr w14:val="tx1"/>
            </w14:solidFill>
          </w14:textFill>
        </w:rPr>
        <w:t>1.120.812,88</w:t>
      </w:r>
      <w:r>
        <w:rPr>
          <w:rFonts w:ascii="Times New Roman" w:hAnsi="Times New Roman" w:cs="Times New Roman"/>
          <w:color w:val="000000" w:themeColor="text1"/>
          <w:sz w:val="24"/>
          <w:szCs w:val="24"/>
          <w14:textFill>
            <w14:solidFill>
              <w14:schemeClr w14:val="tx1"/>
            </w14:solidFill>
          </w14:textFill>
        </w:rPr>
        <w:t xml:space="preserve"> kn</w:t>
      </w:r>
      <w:r>
        <w:rPr>
          <w:rFonts w:hint="default" w:ascii="Times New Roman" w:hAnsi="Times New Roman" w:cs="Times New Roman"/>
          <w:color w:val="000000" w:themeColor="text1"/>
          <w:sz w:val="24"/>
          <w:szCs w:val="24"/>
          <w:lang w:val="hr-HR"/>
          <w14:textFill>
            <w14:solidFill>
              <w14:schemeClr w14:val="tx1"/>
            </w14:solidFill>
          </w14:textFill>
        </w:rPr>
        <w:t>.</w:t>
      </w:r>
    </w:p>
    <w:p>
      <w:pPr>
        <w:autoSpaceDE w:val="0"/>
        <w:autoSpaceDN w:val="0"/>
        <w:adjustRightInd w:val="0"/>
        <w:spacing w:after="0" w:line="240" w:lineRule="auto"/>
        <w:jc w:val="both"/>
        <w:rPr>
          <w:rFonts w:ascii="Times New Roman" w:hAnsi="Times New Roman" w:cs="Times New Roman"/>
          <w:b/>
          <w:sz w:val="24"/>
          <w:szCs w:val="24"/>
        </w:rPr>
      </w:pPr>
    </w:p>
    <w:p>
      <w:pPr>
        <w:rPr>
          <w:rFonts w:hint="default" w:ascii="Times New Roman" w:hAnsi="Times New Roman" w:cs="Times New Roman"/>
          <w:sz w:val="24"/>
          <w:szCs w:val="24"/>
          <w:lang w:val="hr-HR"/>
        </w:rPr>
      </w:pPr>
      <w:r>
        <w:rPr>
          <w:rFonts w:ascii="Times New Roman" w:hAnsi="Times New Roman" w:cs="Times New Roman"/>
          <w:sz w:val="24"/>
          <w:szCs w:val="24"/>
        </w:rPr>
        <w:t xml:space="preserve">Na kraju izvještajnog razdoblja ukupno stanje na računima i u blagajnama iznosi </w:t>
      </w:r>
      <w:r>
        <w:rPr>
          <w:rFonts w:hint="default" w:ascii="Times New Roman" w:hAnsi="Times New Roman" w:cs="Times New Roman"/>
          <w:sz w:val="24"/>
          <w:szCs w:val="24"/>
          <w:lang w:val="hr-HR"/>
        </w:rPr>
        <w:t xml:space="preserve">383.040,70 </w:t>
      </w:r>
      <w:r>
        <w:rPr>
          <w:rFonts w:ascii="Times New Roman" w:hAnsi="Times New Roman" w:cs="Times New Roman"/>
          <w:sz w:val="24"/>
          <w:szCs w:val="24"/>
        </w:rPr>
        <w:t>kn</w:t>
      </w:r>
      <w:r>
        <w:rPr>
          <w:rFonts w:hint="default" w:ascii="Times New Roman" w:hAnsi="Times New Roman" w:cs="Times New Roman"/>
          <w:sz w:val="24"/>
          <w:szCs w:val="24"/>
          <w:lang w:val="hr-HR"/>
        </w:rPr>
        <w:t>.</w:t>
      </w:r>
    </w:p>
    <w:p>
      <w:pPr>
        <w:spacing w:after="0" w:line="240" w:lineRule="auto"/>
        <w:rPr>
          <w:rFonts w:ascii="Times New Roman" w:hAnsi="Times New Roman" w:cs="Times New Roman"/>
          <w:b/>
          <w:bCs/>
          <w:i/>
          <w:color w:val="2F5597" w:themeColor="accent1" w:themeShade="BF"/>
          <w:sz w:val="28"/>
          <w:szCs w:val="28"/>
        </w:rPr>
      </w:pPr>
    </w:p>
    <w:p>
      <w:pPr>
        <w:spacing w:after="0" w:line="240" w:lineRule="auto"/>
        <w:rPr>
          <w:rFonts w:ascii="Times New Roman" w:hAnsi="Times New Roman" w:cs="Times New Roman"/>
          <w:b/>
          <w:bCs/>
          <w:i/>
          <w:color w:val="2F5597" w:themeColor="accent1" w:themeShade="BF"/>
          <w:sz w:val="28"/>
          <w:szCs w:val="28"/>
        </w:rPr>
      </w:pPr>
    </w:p>
    <w:p>
      <w:pPr>
        <w:spacing w:after="0" w:line="240" w:lineRule="auto"/>
        <w:rPr>
          <w:rFonts w:ascii="Times New Roman" w:hAnsi="Times New Roman" w:cs="Times New Roman"/>
          <w:b/>
          <w:bCs/>
          <w:i/>
          <w:color w:val="2F5597" w:themeColor="accent1" w:themeShade="BF"/>
          <w:sz w:val="28"/>
          <w:szCs w:val="28"/>
        </w:rPr>
      </w:pPr>
      <w:r>
        <w:rPr>
          <w:rFonts w:hint="default" w:ascii="Times New Roman" w:hAnsi="Times New Roman" w:cs="Times New Roman"/>
          <w:b/>
          <w:bCs/>
          <w:i/>
          <w:color w:val="2F5597" w:themeColor="accent1" w:themeShade="BF"/>
          <w:sz w:val="28"/>
          <w:szCs w:val="28"/>
          <w:lang w:val="hr-HR"/>
        </w:rPr>
        <w:t>4</w:t>
      </w:r>
      <w:r>
        <w:rPr>
          <w:rFonts w:ascii="Times New Roman" w:hAnsi="Times New Roman" w:cs="Times New Roman"/>
          <w:b/>
          <w:bCs/>
          <w:i/>
          <w:color w:val="2F5597" w:themeColor="accent1" w:themeShade="BF"/>
          <w:sz w:val="28"/>
          <w:szCs w:val="28"/>
        </w:rPr>
        <w:t>. IZVJEŠTAJ O OBVEZAMA (Obrazac: OBVEZE)</w:t>
      </w:r>
    </w:p>
    <w:p>
      <w:pPr>
        <w:spacing w:after="0" w:line="240" w:lineRule="auto"/>
        <w:rPr>
          <w:rFonts w:ascii="Times New Roman" w:hAnsi="Times New Roman" w:cs="Times New Roman"/>
          <w:b/>
          <w:bCs/>
          <w:i/>
          <w:color w:val="2F5597" w:themeColor="accent1" w:themeShade="BF"/>
          <w:sz w:val="28"/>
          <w:szCs w:val="28"/>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Bilješka broj 1</w:t>
      </w:r>
      <w:r>
        <w:rPr>
          <w:rFonts w:hint="default" w:ascii="Times New Roman" w:hAnsi="Times New Roman" w:cs="Times New Roman"/>
          <w:b/>
          <w:sz w:val="24"/>
          <w:szCs w:val="24"/>
          <w:lang w:val="hr-HR"/>
        </w:rPr>
        <w:t>1</w:t>
      </w:r>
      <w:r>
        <w:rPr>
          <w:rFonts w:ascii="Times New Roman" w:hAnsi="Times New Roman" w:cs="Times New Roman"/>
          <w:sz w:val="24"/>
          <w:szCs w:val="24"/>
        </w:rPr>
        <w:t xml:space="preserve"> - U Izvještaju o obvezama iskazuju se ukupne obveze Općine </w:t>
      </w:r>
      <w:r>
        <w:rPr>
          <w:rFonts w:hint="default" w:ascii="Times New Roman" w:hAnsi="Times New Roman" w:cs="Times New Roman"/>
          <w:sz w:val="24"/>
          <w:szCs w:val="24"/>
          <w:lang w:val="hr-HR"/>
        </w:rPr>
        <w:t>Podcrkavlje</w:t>
      </w:r>
      <w:r>
        <w:rPr>
          <w:rFonts w:ascii="Times New Roman" w:hAnsi="Times New Roman" w:cs="Times New Roman"/>
          <w:sz w:val="24"/>
          <w:szCs w:val="24"/>
        </w:rPr>
        <w:t xml:space="preserve"> u razdoblju od 1. siječnja do 31. prosinca 2022. godine. Stanje obveza na kraju izvještajnog razdoblja (Šifra V006) iznosi </w:t>
      </w:r>
      <w:r>
        <w:rPr>
          <w:rFonts w:hint="default" w:ascii="Times New Roman" w:hAnsi="Times New Roman" w:cs="Times New Roman"/>
          <w:sz w:val="24"/>
          <w:szCs w:val="24"/>
          <w:lang w:val="hr-HR"/>
        </w:rPr>
        <w:t>4.450.865,84</w:t>
      </w:r>
      <w:r>
        <w:rPr>
          <w:rFonts w:ascii="Times New Roman" w:hAnsi="Times New Roman" w:cs="Times New Roman"/>
          <w:sz w:val="24"/>
          <w:szCs w:val="24"/>
        </w:rPr>
        <w:t xml:space="preserve"> kn od čega dospjele obveze (Šifra V007) iznose </w:t>
      </w:r>
      <w:r>
        <w:rPr>
          <w:rFonts w:hint="default" w:ascii="Times New Roman" w:hAnsi="Times New Roman" w:cs="Times New Roman"/>
          <w:sz w:val="24"/>
          <w:szCs w:val="24"/>
          <w:lang w:val="hr-HR"/>
        </w:rPr>
        <w:t>662.347,24</w:t>
      </w:r>
      <w:r>
        <w:rPr>
          <w:rFonts w:ascii="Times New Roman" w:hAnsi="Times New Roman" w:cs="Times New Roman"/>
          <w:sz w:val="24"/>
          <w:szCs w:val="24"/>
        </w:rPr>
        <w:t xml:space="preserve"> kn, a nedospjele obveze (Šifra V009) </w:t>
      </w:r>
      <w:r>
        <w:rPr>
          <w:rFonts w:hint="default" w:ascii="Times New Roman" w:hAnsi="Times New Roman" w:cs="Times New Roman"/>
          <w:sz w:val="24"/>
          <w:szCs w:val="24"/>
          <w:lang w:val="hr-HR"/>
        </w:rPr>
        <w:t>3.788.518,60</w:t>
      </w:r>
      <w:r>
        <w:rPr>
          <w:rFonts w:ascii="Times New Roman" w:hAnsi="Times New Roman" w:cs="Times New Roman"/>
          <w:sz w:val="24"/>
          <w:szCs w:val="24"/>
        </w:rPr>
        <w:t xml:space="preserve"> kn. </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 ukupno dospjelih obveza na kraju izvještajnog razdoblja u iznosu od </w:t>
      </w:r>
      <w:r>
        <w:rPr>
          <w:rFonts w:hint="default" w:ascii="Times New Roman" w:hAnsi="Times New Roman" w:cs="Times New Roman"/>
          <w:sz w:val="24"/>
          <w:szCs w:val="24"/>
          <w:lang w:val="hr-HR"/>
        </w:rPr>
        <w:t>662.347,24</w:t>
      </w:r>
      <w:r>
        <w:rPr>
          <w:rFonts w:ascii="Times New Roman" w:hAnsi="Times New Roman" w:cs="Times New Roman"/>
          <w:sz w:val="24"/>
          <w:szCs w:val="24"/>
        </w:rPr>
        <w:t xml:space="preserve"> kn unutar 60 dana dospjelo je na plaćanje </w:t>
      </w:r>
      <w:r>
        <w:rPr>
          <w:rFonts w:hint="default" w:ascii="Times New Roman" w:hAnsi="Times New Roman" w:cs="Times New Roman"/>
          <w:sz w:val="24"/>
          <w:szCs w:val="24"/>
          <w:lang w:val="hr-HR"/>
        </w:rPr>
        <w:t>16.080,93</w:t>
      </w:r>
      <w:r>
        <w:rPr>
          <w:rFonts w:ascii="Times New Roman" w:hAnsi="Times New Roman" w:cs="Times New Roman"/>
          <w:sz w:val="24"/>
          <w:szCs w:val="24"/>
        </w:rPr>
        <w:t xml:space="preserve"> kn, unutar narednih 61-180 dana dospjelo je </w:t>
      </w:r>
      <w:r>
        <w:rPr>
          <w:rFonts w:hint="default" w:ascii="Times New Roman" w:hAnsi="Times New Roman" w:cs="Times New Roman"/>
          <w:sz w:val="24"/>
          <w:szCs w:val="24"/>
          <w:lang w:val="hr-HR"/>
        </w:rPr>
        <w:t>190.836,57 kn</w:t>
      </w:r>
      <w:r>
        <w:rPr>
          <w:rFonts w:ascii="Times New Roman" w:hAnsi="Times New Roman" w:cs="Times New Roman"/>
          <w:sz w:val="24"/>
          <w:szCs w:val="24"/>
        </w:rPr>
        <w:t xml:space="preserve">, od 181-360 dana dospjelo je </w:t>
      </w:r>
      <w:r>
        <w:rPr>
          <w:rFonts w:hint="default" w:ascii="Times New Roman" w:hAnsi="Times New Roman" w:cs="Times New Roman"/>
          <w:sz w:val="24"/>
          <w:szCs w:val="24"/>
          <w:lang w:val="hr-HR"/>
        </w:rPr>
        <w:t>151.441,84</w:t>
      </w:r>
      <w:r>
        <w:rPr>
          <w:rFonts w:ascii="Times New Roman" w:hAnsi="Times New Roman" w:cs="Times New Roman"/>
          <w:sz w:val="24"/>
          <w:szCs w:val="24"/>
        </w:rPr>
        <w:t xml:space="preserve">kn i konačno, preko 360 dana dospjelo je </w:t>
      </w:r>
      <w:r>
        <w:rPr>
          <w:rFonts w:hint="default" w:ascii="Times New Roman" w:hAnsi="Times New Roman" w:cs="Times New Roman"/>
          <w:sz w:val="24"/>
          <w:szCs w:val="24"/>
          <w:lang w:val="hr-HR"/>
        </w:rPr>
        <w:t xml:space="preserve">64.404,55 </w:t>
      </w:r>
      <w:r>
        <w:rPr>
          <w:rFonts w:ascii="Times New Roman" w:hAnsi="Times New Roman" w:cs="Times New Roman"/>
          <w:sz w:val="24"/>
          <w:szCs w:val="24"/>
        </w:rPr>
        <w:t>kn obveze.</w:t>
      </w:r>
    </w:p>
    <w:p>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p>
    <w:p>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p>
    <w:p>
      <w:pPr>
        <w:autoSpaceDE w:val="0"/>
        <w:autoSpaceDN w:val="0"/>
        <w:adjustRightInd w:val="0"/>
        <w:spacing w:after="0" w:line="240" w:lineRule="auto"/>
        <w:jc w:val="both"/>
        <w:rPr>
          <w:rFonts w:hint="default" w:ascii="Times New Roman" w:hAnsi="Times New Roman" w:cs="Times New Roman"/>
          <w:color w:val="000000" w:themeColor="text1"/>
          <w:sz w:val="24"/>
          <w:szCs w:val="24"/>
          <w:lang w:val="hr-HR"/>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Stanje nedospjelih obveza na kraju izvještajnog razdoblja (Šifra V009) iznosi </w:t>
      </w:r>
      <w:r>
        <w:rPr>
          <w:rFonts w:hint="default" w:ascii="Times New Roman" w:hAnsi="Times New Roman" w:cs="Times New Roman"/>
          <w:sz w:val="24"/>
          <w:szCs w:val="24"/>
          <w:lang w:val="hr-HR"/>
        </w:rPr>
        <w:t>3.788.518,60</w:t>
      </w:r>
      <w:r>
        <w:rPr>
          <w:rFonts w:ascii="Times New Roman" w:hAnsi="Times New Roman" w:cs="Times New Roman"/>
          <w:color w:val="000000" w:themeColor="text1"/>
          <w:sz w:val="24"/>
          <w:szCs w:val="24"/>
          <w14:textFill>
            <w14:solidFill>
              <w14:schemeClr w14:val="tx1"/>
            </w14:solidFill>
          </w14:textFill>
        </w:rPr>
        <w:t xml:space="preserve"> kn i odnosi se na obveze za rashode poslovanja u iznosu od </w:t>
      </w:r>
      <w:r>
        <w:rPr>
          <w:rFonts w:hint="default" w:ascii="Times New Roman" w:hAnsi="Times New Roman" w:cs="Times New Roman"/>
          <w:color w:val="000000" w:themeColor="text1"/>
          <w:sz w:val="24"/>
          <w:szCs w:val="24"/>
          <w:lang w:val="hr-HR"/>
          <w14:textFill>
            <w14:solidFill>
              <w14:schemeClr w14:val="tx1"/>
            </w14:solidFill>
          </w14:textFill>
        </w:rPr>
        <w:t>80.810,02</w:t>
      </w:r>
      <w:r>
        <w:rPr>
          <w:rFonts w:ascii="Times New Roman" w:hAnsi="Times New Roman" w:cs="Times New Roman"/>
          <w:color w:val="000000" w:themeColor="text1"/>
          <w:sz w:val="24"/>
          <w:szCs w:val="24"/>
          <w14:textFill>
            <w14:solidFill>
              <w14:schemeClr w14:val="tx1"/>
            </w14:solidFill>
          </w14:textFill>
        </w:rPr>
        <w:t xml:space="preserve"> kn</w:t>
      </w:r>
      <w:r>
        <w:rPr>
          <w:rFonts w:hint="default" w:ascii="Times New Roman" w:hAnsi="Times New Roman" w:cs="Times New Roman"/>
          <w:color w:val="000000" w:themeColor="text1"/>
          <w:sz w:val="24"/>
          <w:szCs w:val="24"/>
          <w:lang w:val="hr-HR"/>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obveze za nabavu nefinancijske imovine u iznosu od </w:t>
      </w:r>
      <w:r>
        <w:rPr>
          <w:rFonts w:hint="default" w:ascii="Times New Roman" w:hAnsi="Times New Roman" w:cs="Times New Roman"/>
          <w:color w:val="000000" w:themeColor="text1"/>
          <w:sz w:val="24"/>
          <w:szCs w:val="24"/>
          <w:lang w:val="hr-HR"/>
          <w14:textFill>
            <w14:solidFill>
              <w14:schemeClr w14:val="tx1"/>
            </w14:solidFill>
          </w14:textFill>
        </w:rPr>
        <w:t>18.124,99</w:t>
      </w:r>
      <w:r>
        <w:rPr>
          <w:rFonts w:ascii="Times New Roman" w:hAnsi="Times New Roman" w:cs="Times New Roman"/>
          <w:color w:val="000000" w:themeColor="text1"/>
          <w:sz w:val="24"/>
          <w:szCs w:val="24"/>
          <w14:textFill>
            <w14:solidFill>
              <w14:schemeClr w14:val="tx1"/>
            </w14:solidFill>
          </w14:textFill>
        </w:rPr>
        <w:t xml:space="preserve"> kn</w:t>
      </w:r>
      <w:r>
        <w:rPr>
          <w:rFonts w:hint="default" w:ascii="Times New Roman" w:hAnsi="Times New Roman" w:cs="Times New Roman"/>
          <w:color w:val="000000" w:themeColor="text1"/>
          <w:sz w:val="24"/>
          <w:szCs w:val="24"/>
          <w:lang w:val="hr-HR"/>
          <w14:textFill>
            <w14:solidFill>
              <w14:schemeClr w14:val="tx1"/>
            </w14:solidFill>
          </w14:textFill>
        </w:rPr>
        <w:t xml:space="preserve"> te obveze za financijsku imovinu u iznosu od 3.689.583,59 kn.</w:t>
      </w:r>
    </w:p>
    <w:p>
      <w:pPr>
        <w:rPr>
          <w:rFonts w:ascii="Times New Roman" w:hAnsi="Times New Roman" w:cs="Times New Roman"/>
          <w:sz w:val="24"/>
          <w:szCs w:val="24"/>
        </w:rPr>
      </w:pPr>
    </w:p>
    <w:p>
      <w:pPr>
        <w:rPr>
          <w:rFonts w:hint="default" w:ascii="Times New Roman" w:hAnsi="Times New Roman" w:cs="Times New Roman"/>
          <w:b/>
          <w:sz w:val="24"/>
          <w:szCs w:val="24"/>
          <w:lang w:val="hr-HR"/>
        </w:rPr>
      </w:pPr>
      <w:r>
        <w:rPr>
          <w:rFonts w:ascii="Times New Roman" w:hAnsi="Times New Roman" w:cs="Times New Roman"/>
          <w:sz w:val="24"/>
          <w:szCs w:val="24"/>
        </w:rPr>
        <w:t xml:space="preserve">Prema podacima Jedinstvenog upravnog odjela, koji vodi evidenciju sudskih sporova na dan 31. prosinca 2022. godine, </w:t>
      </w:r>
      <w:r>
        <w:rPr>
          <w:rFonts w:hint="default" w:ascii="Times New Roman" w:hAnsi="Times New Roman" w:cs="Times New Roman"/>
          <w:sz w:val="24"/>
          <w:szCs w:val="24"/>
          <w:lang w:val="hr-HR"/>
        </w:rPr>
        <w:t>sudskih sporova nije bilo.</w:t>
      </w:r>
    </w:p>
    <w:p>
      <w:pPr>
        <w:autoSpaceDE w:val="0"/>
        <w:autoSpaceDN w:val="0"/>
        <w:adjustRightInd w:val="0"/>
        <w:spacing w:after="0" w:line="240" w:lineRule="auto"/>
        <w:jc w:val="both"/>
        <w:rPr>
          <w:rFonts w:ascii="Times New Roman" w:hAnsi="Times New Roman" w:cs="Times New Roman"/>
          <w:b/>
          <w:sz w:val="24"/>
          <w:szCs w:val="24"/>
        </w:rPr>
      </w:pPr>
    </w:p>
    <w:p>
      <w:pPr>
        <w:autoSpaceDE w:val="0"/>
        <w:autoSpaceDN w:val="0"/>
        <w:adjustRightInd w:val="0"/>
        <w:spacing w:after="0" w:line="240" w:lineRule="auto"/>
        <w:jc w:val="both"/>
        <w:rPr>
          <w:rFonts w:ascii="Times New Roman" w:hAnsi="Times New Roman" w:cs="Times New Roman"/>
          <w:b/>
          <w:sz w:val="24"/>
          <w:szCs w:val="24"/>
        </w:rPr>
      </w:pPr>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Courier New">
    <w:panose1 w:val="02070309020205020404"/>
    <w:charset w:val="EE"/>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EE"/>
    <w:family w:val="swiss"/>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1239179"/>
      <w:docPartObj>
        <w:docPartGallery w:val="AutoText"/>
      </w:docPartObj>
    </w:sdtPr>
    <w:sdtContent>
      <w:p>
        <w:pPr>
          <w:pStyle w:val="5"/>
          <w:jc w:val="right"/>
        </w:pPr>
        <w:r>
          <w:t xml:space="preserve">Stranica | </w:t>
        </w:r>
        <w:r>
          <w:fldChar w:fldCharType="begin"/>
        </w:r>
        <w:r>
          <w:instrText xml:space="preserve">PAGE   \* MERGEFORMAT</w:instrText>
        </w:r>
        <w:r>
          <w:fldChar w:fldCharType="separate"/>
        </w:r>
        <w:r>
          <w:t>15</w:t>
        </w:r>
        <w:r>
          <w:fldChar w:fldCharType="end"/>
        </w:r>
        <w:r>
          <w:t xml:space="preserve"> </w:t>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AD76F7"/>
    <w:multiLevelType w:val="multilevel"/>
    <w:tmpl w:val="22AD76F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D02"/>
    <w:rsid w:val="000060A9"/>
    <w:rsid w:val="0000779E"/>
    <w:rsid w:val="000158D0"/>
    <w:rsid w:val="00015E52"/>
    <w:rsid w:val="000272A3"/>
    <w:rsid w:val="00030470"/>
    <w:rsid w:val="0003124C"/>
    <w:rsid w:val="000363DB"/>
    <w:rsid w:val="0004008F"/>
    <w:rsid w:val="0004060C"/>
    <w:rsid w:val="00040D6E"/>
    <w:rsid w:val="00044459"/>
    <w:rsid w:val="00045CF8"/>
    <w:rsid w:val="000477EF"/>
    <w:rsid w:val="00054E0A"/>
    <w:rsid w:val="00064B94"/>
    <w:rsid w:val="00066A83"/>
    <w:rsid w:val="00070035"/>
    <w:rsid w:val="000705FE"/>
    <w:rsid w:val="00072819"/>
    <w:rsid w:val="00076713"/>
    <w:rsid w:val="00077521"/>
    <w:rsid w:val="0008129F"/>
    <w:rsid w:val="00082D83"/>
    <w:rsid w:val="00093266"/>
    <w:rsid w:val="00093FA6"/>
    <w:rsid w:val="00095588"/>
    <w:rsid w:val="000A52C8"/>
    <w:rsid w:val="000B001C"/>
    <w:rsid w:val="000B33F9"/>
    <w:rsid w:val="000C004B"/>
    <w:rsid w:val="000C0AAB"/>
    <w:rsid w:val="000C12C0"/>
    <w:rsid w:val="000D03D3"/>
    <w:rsid w:val="000D2DAF"/>
    <w:rsid w:val="000D418D"/>
    <w:rsid w:val="000E260B"/>
    <w:rsid w:val="000F19A4"/>
    <w:rsid w:val="000F46A1"/>
    <w:rsid w:val="000F541B"/>
    <w:rsid w:val="00103C3E"/>
    <w:rsid w:val="0011012C"/>
    <w:rsid w:val="0012346D"/>
    <w:rsid w:val="00123D3C"/>
    <w:rsid w:val="00124270"/>
    <w:rsid w:val="00124C30"/>
    <w:rsid w:val="0012573D"/>
    <w:rsid w:val="00125785"/>
    <w:rsid w:val="00125B48"/>
    <w:rsid w:val="001317C1"/>
    <w:rsid w:val="00131BD6"/>
    <w:rsid w:val="00134F2A"/>
    <w:rsid w:val="001379EA"/>
    <w:rsid w:val="00142662"/>
    <w:rsid w:val="0015402A"/>
    <w:rsid w:val="001646C9"/>
    <w:rsid w:val="001650E9"/>
    <w:rsid w:val="00166CDF"/>
    <w:rsid w:val="00173162"/>
    <w:rsid w:val="0017585E"/>
    <w:rsid w:val="00181C03"/>
    <w:rsid w:val="001834A2"/>
    <w:rsid w:val="00186951"/>
    <w:rsid w:val="001875AC"/>
    <w:rsid w:val="00197665"/>
    <w:rsid w:val="001A3215"/>
    <w:rsid w:val="001B14AE"/>
    <w:rsid w:val="001B6129"/>
    <w:rsid w:val="001C5A99"/>
    <w:rsid w:val="001D10D8"/>
    <w:rsid w:val="001D2996"/>
    <w:rsid w:val="001D349F"/>
    <w:rsid w:val="001D70DE"/>
    <w:rsid w:val="001E046E"/>
    <w:rsid w:val="001E1FCB"/>
    <w:rsid w:val="001E2589"/>
    <w:rsid w:val="001E5CA1"/>
    <w:rsid w:val="001E76D5"/>
    <w:rsid w:val="001F7621"/>
    <w:rsid w:val="002149AC"/>
    <w:rsid w:val="002177C0"/>
    <w:rsid w:val="00217FC9"/>
    <w:rsid w:val="00227F54"/>
    <w:rsid w:val="00231B28"/>
    <w:rsid w:val="00234226"/>
    <w:rsid w:val="00244C96"/>
    <w:rsid w:val="00250549"/>
    <w:rsid w:val="002505A6"/>
    <w:rsid w:val="00254F08"/>
    <w:rsid w:val="00255D30"/>
    <w:rsid w:val="002643BC"/>
    <w:rsid w:val="00271E86"/>
    <w:rsid w:val="00273B48"/>
    <w:rsid w:val="00276C86"/>
    <w:rsid w:val="00280247"/>
    <w:rsid w:val="00281ED6"/>
    <w:rsid w:val="0028468E"/>
    <w:rsid w:val="0028555A"/>
    <w:rsid w:val="00285A0A"/>
    <w:rsid w:val="00285A24"/>
    <w:rsid w:val="00286748"/>
    <w:rsid w:val="00287773"/>
    <w:rsid w:val="002903D6"/>
    <w:rsid w:val="00291136"/>
    <w:rsid w:val="0029373A"/>
    <w:rsid w:val="00293F5C"/>
    <w:rsid w:val="002A000A"/>
    <w:rsid w:val="002A14BB"/>
    <w:rsid w:val="002A468B"/>
    <w:rsid w:val="002A4CB0"/>
    <w:rsid w:val="002A602A"/>
    <w:rsid w:val="002B31A5"/>
    <w:rsid w:val="002B3938"/>
    <w:rsid w:val="002B3CC9"/>
    <w:rsid w:val="002C3DD8"/>
    <w:rsid w:val="002D34CF"/>
    <w:rsid w:val="002D4A31"/>
    <w:rsid w:val="002D6C03"/>
    <w:rsid w:val="002D6FE6"/>
    <w:rsid w:val="002D74F5"/>
    <w:rsid w:val="002D7EF9"/>
    <w:rsid w:val="002E3EED"/>
    <w:rsid w:val="002E5DBC"/>
    <w:rsid w:val="002F470F"/>
    <w:rsid w:val="003002ED"/>
    <w:rsid w:val="0030133E"/>
    <w:rsid w:val="003146F0"/>
    <w:rsid w:val="003207D1"/>
    <w:rsid w:val="003224D8"/>
    <w:rsid w:val="00322D75"/>
    <w:rsid w:val="0032668A"/>
    <w:rsid w:val="003318F8"/>
    <w:rsid w:val="00341E16"/>
    <w:rsid w:val="00344A7D"/>
    <w:rsid w:val="003505BA"/>
    <w:rsid w:val="003525F1"/>
    <w:rsid w:val="003544CC"/>
    <w:rsid w:val="00355259"/>
    <w:rsid w:val="00367C65"/>
    <w:rsid w:val="00372389"/>
    <w:rsid w:val="003733AE"/>
    <w:rsid w:val="00380C6A"/>
    <w:rsid w:val="003812B4"/>
    <w:rsid w:val="00383797"/>
    <w:rsid w:val="00385FD4"/>
    <w:rsid w:val="00386501"/>
    <w:rsid w:val="00387ACB"/>
    <w:rsid w:val="00393D03"/>
    <w:rsid w:val="00395F99"/>
    <w:rsid w:val="00396279"/>
    <w:rsid w:val="00396F5E"/>
    <w:rsid w:val="003A2009"/>
    <w:rsid w:val="003A2FDB"/>
    <w:rsid w:val="003B3E0B"/>
    <w:rsid w:val="003B49FA"/>
    <w:rsid w:val="003C0502"/>
    <w:rsid w:val="003C7A43"/>
    <w:rsid w:val="003D4A17"/>
    <w:rsid w:val="003D4B76"/>
    <w:rsid w:val="003D686C"/>
    <w:rsid w:val="003D6CF5"/>
    <w:rsid w:val="003E10EC"/>
    <w:rsid w:val="003E4E03"/>
    <w:rsid w:val="003E51F8"/>
    <w:rsid w:val="003E744F"/>
    <w:rsid w:val="003F03F9"/>
    <w:rsid w:val="00400CEC"/>
    <w:rsid w:val="004073A2"/>
    <w:rsid w:val="00412B46"/>
    <w:rsid w:val="00413911"/>
    <w:rsid w:val="00416AB8"/>
    <w:rsid w:val="0043179B"/>
    <w:rsid w:val="0043189E"/>
    <w:rsid w:val="0043573B"/>
    <w:rsid w:val="00436D98"/>
    <w:rsid w:val="00443099"/>
    <w:rsid w:val="004436B6"/>
    <w:rsid w:val="004451B4"/>
    <w:rsid w:val="00445D21"/>
    <w:rsid w:val="00446B00"/>
    <w:rsid w:val="004475C6"/>
    <w:rsid w:val="00452BB3"/>
    <w:rsid w:val="004544EF"/>
    <w:rsid w:val="00454ACE"/>
    <w:rsid w:val="004578FB"/>
    <w:rsid w:val="00460220"/>
    <w:rsid w:val="004641F9"/>
    <w:rsid w:val="00474C48"/>
    <w:rsid w:val="0048109E"/>
    <w:rsid w:val="004830A6"/>
    <w:rsid w:val="00493DD1"/>
    <w:rsid w:val="00494601"/>
    <w:rsid w:val="00494D69"/>
    <w:rsid w:val="00495101"/>
    <w:rsid w:val="004A08F5"/>
    <w:rsid w:val="004A0F92"/>
    <w:rsid w:val="004A4FB9"/>
    <w:rsid w:val="004A51EE"/>
    <w:rsid w:val="004A65DD"/>
    <w:rsid w:val="004A6851"/>
    <w:rsid w:val="004A7B00"/>
    <w:rsid w:val="004B3EAF"/>
    <w:rsid w:val="004B41A5"/>
    <w:rsid w:val="004B4C7B"/>
    <w:rsid w:val="004B519F"/>
    <w:rsid w:val="004B7BB7"/>
    <w:rsid w:val="004C030B"/>
    <w:rsid w:val="004C0B9B"/>
    <w:rsid w:val="004C645B"/>
    <w:rsid w:val="004C749A"/>
    <w:rsid w:val="004D17B6"/>
    <w:rsid w:val="004D433D"/>
    <w:rsid w:val="004D43E3"/>
    <w:rsid w:val="004E0BE6"/>
    <w:rsid w:val="004E45D1"/>
    <w:rsid w:val="00504533"/>
    <w:rsid w:val="005057FB"/>
    <w:rsid w:val="00511125"/>
    <w:rsid w:val="00511872"/>
    <w:rsid w:val="0051215C"/>
    <w:rsid w:val="005123B6"/>
    <w:rsid w:val="005142FB"/>
    <w:rsid w:val="005147F4"/>
    <w:rsid w:val="00521FA6"/>
    <w:rsid w:val="0052662B"/>
    <w:rsid w:val="00532358"/>
    <w:rsid w:val="0054055F"/>
    <w:rsid w:val="00541897"/>
    <w:rsid w:val="00551F02"/>
    <w:rsid w:val="0055503E"/>
    <w:rsid w:val="0055509E"/>
    <w:rsid w:val="00555F5A"/>
    <w:rsid w:val="00561CA1"/>
    <w:rsid w:val="00563B2A"/>
    <w:rsid w:val="00565D2A"/>
    <w:rsid w:val="00566126"/>
    <w:rsid w:val="0056732D"/>
    <w:rsid w:val="00584042"/>
    <w:rsid w:val="0058616E"/>
    <w:rsid w:val="00587730"/>
    <w:rsid w:val="00590211"/>
    <w:rsid w:val="005909C4"/>
    <w:rsid w:val="00592ACD"/>
    <w:rsid w:val="00594120"/>
    <w:rsid w:val="005B0297"/>
    <w:rsid w:val="005B25C5"/>
    <w:rsid w:val="005B475D"/>
    <w:rsid w:val="005B5966"/>
    <w:rsid w:val="005C35A7"/>
    <w:rsid w:val="005C6115"/>
    <w:rsid w:val="005C640E"/>
    <w:rsid w:val="005C7330"/>
    <w:rsid w:val="005D390D"/>
    <w:rsid w:val="005D7E7E"/>
    <w:rsid w:val="005E39C6"/>
    <w:rsid w:val="005E651C"/>
    <w:rsid w:val="005F20AD"/>
    <w:rsid w:val="005F4AC4"/>
    <w:rsid w:val="005F7CC6"/>
    <w:rsid w:val="00613FA8"/>
    <w:rsid w:val="00621909"/>
    <w:rsid w:val="006223B6"/>
    <w:rsid w:val="0062626C"/>
    <w:rsid w:val="006422B1"/>
    <w:rsid w:val="00644BD0"/>
    <w:rsid w:val="00644C50"/>
    <w:rsid w:val="00651999"/>
    <w:rsid w:val="0065696F"/>
    <w:rsid w:val="00656F3F"/>
    <w:rsid w:val="00662EEB"/>
    <w:rsid w:val="00664B62"/>
    <w:rsid w:val="00666C77"/>
    <w:rsid w:val="0066761A"/>
    <w:rsid w:val="006676C3"/>
    <w:rsid w:val="00670226"/>
    <w:rsid w:val="00670DAE"/>
    <w:rsid w:val="00674591"/>
    <w:rsid w:val="00674682"/>
    <w:rsid w:val="006749BB"/>
    <w:rsid w:val="00674C6A"/>
    <w:rsid w:val="006757E9"/>
    <w:rsid w:val="00675934"/>
    <w:rsid w:val="006779F2"/>
    <w:rsid w:val="00677CBD"/>
    <w:rsid w:val="006808C2"/>
    <w:rsid w:val="00684B00"/>
    <w:rsid w:val="00684E86"/>
    <w:rsid w:val="006858FC"/>
    <w:rsid w:val="006921A1"/>
    <w:rsid w:val="00692AD1"/>
    <w:rsid w:val="00693A50"/>
    <w:rsid w:val="0069697F"/>
    <w:rsid w:val="00697EBA"/>
    <w:rsid w:val="006A12D9"/>
    <w:rsid w:val="006A4121"/>
    <w:rsid w:val="006A60EB"/>
    <w:rsid w:val="006A744B"/>
    <w:rsid w:val="006A7F1C"/>
    <w:rsid w:val="006B5E9D"/>
    <w:rsid w:val="006B7DDC"/>
    <w:rsid w:val="006C1032"/>
    <w:rsid w:val="006C3EFB"/>
    <w:rsid w:val="006C5F40"/>
    <w:rsid w:val="006C7588"/>
    <w:rsid w:val="006D07F1"/>
    <w:rsid w:val="006D13C9"/>
    <w:rsid w:val="006E2BD1"/>
    <w:rsid w:val="006E3B6C"/>
    <w:rsid w:val="006E586F"/>
    <w:rsid w:val="006E6125"/>
    <w:rsid w:val="006E6190"/>
    <w:rsid w:val="006F582C"/>
    <w:rsid w:val="00700715"/>
    <w:rsid w:val="00701C52"/>
    <w:rsid w:val="00702FC2"/>
    <w:rsid w:val="00703763"/>
    <w:rsid w:val="00704AC2"/>
    <w:rsid w:val="00705236"/>
    <w:rsid w:val="00707BC4"/>
    <w:rsid w:val="00707DA4"/>
    <w:rsid w:val="007129E7"/>
    <w:rsid w:val="00713ED7"/>
    <w:rsid w:val="007145C9"/>
    <w:rsid w:val="00715C65"/>
    <w:rsid w:val="007201D6"/>
    <w:rsid w:val="0072085D"/>
    <w:rsid w:val="00720F1A"/>
    <w:rsid w:val="00724DC2"/>
    <w:rsid w:val="007430B8"/>
    <w:rsid w:val="007470B0"/>
    <w:rsid w:val="00752496"/>
    <w:rsid w:val="00757627"/>
    <w:rsid w:val="00757C72"/>
    <w:rsid w:val="00760C83"/>
    <w:rsid w:val="00763FD7"/>
    <w:rsid w:val="00765BC4"/>
    <w:rsid w:val="00766B5C"/>
    <w:rsid w:val="0077210F"/>
    <w:rsid w:val="0078303C"/>
    <w:rsid w:val="00786151"/>
    <w:rsid w:val="00792289"/>
    <w:rsid w:val="007A030D"/>
    <w:rsid w:val="007A0A14"/>
    <w:rsid w:val="007A4FE8"/>
    <w:rsid w:val="007A7B73"/>
    <w:rsid w:val="007C1ACD"/>
    <w:rsid w:val="007C1FF9"/>
    <w:rsid w:val="007D2250"/>
    <w:rsid w:val="007D343F"/>
    <w:rsid w:val="007D3BCB"/>
    <w:rsid w:val="007E1F35"/>
    <w:rsid w:val="007E3054"/>
    <w:rsid w:val="007F005B"/>
    <w:rsid w:val="007F1229"/>
    <w:rsid w:val="007F1C39"/>
    <w:rsid w:val="00800469"/>
    <w:rsid w:val="00800AA3"/>
    <w:rsid w:val="00800AB4"/>
    <w:rsid w:val="00801D57"/>
    <w:rsid w:val="008027FF"/>
    <w:rsid w:val="00804CEE"/>
    <w:rsid w:val="0080637B"/>
    <w:rsid w:val="008144E4"/>
    <w:rsid w:val="0082521F"/>
    <w:rsid w:val="00830527"/>
    <w:rsid w:val="00832BEA"/>
    <w:rsid w:val="00834878"/>
    <w:rsid w:val="00835053"/>
    <w:rsid w:val="00837CF0"/>
    <w:rsid w:val="00844EAA"/>
    <w:rsid w:val="0084706A"/>
    <w:rsid w:val="00852B61"/>
    <w:rsid w:val="0085351D"/>
    <w:rsid w:val="008543F3"/>
    <w:rsid w:val="00871919"/>
    <w:rsid w:val="0087203B"/>
    <w:rsid w:val="00873C9D"/>
    <w:rsid w:val="00873EC8"/>
    <w:rsid w:val="0087469D"/>
    <w:rsid w:val="008756C1"/>
    <w:rsid w:val="00884F50"/>
    <w:rsid w:val="00892250"/>
    <w:rsid w:val="008958FB"/>
    <w:rsid w:val="00897BA0"/>
    <w:rsid w:val="008A14B8"/>
    <w:rsid w:val="008A270B"/>
    <w:rsid w:val="008A3894"/>
    <w:rsid w:val="008B6256"/>
    <w:rsid w:val="008B6D0C"/>
    <w:rsid w:val="008C27D8"/>
    <w:rsid w:val="008C4354"/>
    <w:rsid w:val="008D0DA8"/>
    <w:rsid w:val="008D139E"/>
    <w:rsid w:val="008D2D02"/>
    <w:rsid w:val="008D560F"/>
    <w:rsid w:val="008D5BB9"/>
    <w:rsid w:val="008D60E6"/>
    <w:rsid w:val="008D77A4"/>
    <w:rsid w:val="008E33B4"/>
    <w:rsid w:val="008F07D6"/>
    <w:rsid w:val="008F2002"/>
    <w:rsid w:val="008F2B01"/>
    <w:rsid w:val="008F5DB8"/>
    <w:rsid w:val="009031E7"/>
    <w:rsid w:val="00904ADF"/>
    <w:rsid w:val="00905C7C"/>
    <w:rsid w:val="009063CA"/>
    <w:rsid w:val="0091045B"/>
    <w:rsid w:val="009116A0"/>
    <w:rsid w:val="00911C4E"/>
    <w:rsid w:val="009128DB"/>
    <w:rsid w:val="00914E03"/>
    <w:rsid w:val="009165BB"/>
    <w:rsid w:val="0091678F"/>
    <w:rsid w:val="00920B3E"/>
    <w:rsid w:val="009278E9"/>
    <w:rsid w:val="00934551"/>
    <w:rsid w:val="00935F37"/>
    <w:rsid w:val="0094266B"/>
    <w:rsid w:val="00943A19"/>
    <w:rsid w:val="00945C3F"/>
    <w:rsid w:val="00947A5E"/>
    <w:rsid w:val="009506C2"/>
    <w:rsid w:val="009507D1"/>
    <w:rsid w:val="00965F6C"/>
    <w:rsid w:val="00970AC6"/>
    <w:rsid w:val="00970EF1"/>
    <w:rsid w:val="0097280A"/>
    <w:rsid w:val="00980FFF"/>
    <w:rsid w:val="0098313C"/>
    <w:rsid w:val="00985907"/>
    <w:rsid w:val="009A3693"/>
    <w:rsid w:val="009B3AA8"/>
    <w:rsid w:val="009C15E6"/>
    <w:rsid w:val="009D4F53"/>
    <w:rsid w:val="009D5559"/>
    <w:rsid w:val="009E5BB9"/>
    <w:rsid w:val="009F7312"/>
    <w:rsid w:val="00A01CCD"/>
    <w:rsid w:val="00A0463E"/>
    <w:rsid w:val="00A06340"/>
    <w:rsid w:val="00A070CD"/>
    <w:rsid w:val="00A133CE"/>
    <w:rsid w:val="00A24743"/>
    <w:rsid w:val="00A25497"/>
    <w:rsid w:val="00A25E4C"/>
    <w:rsid w:val="00A26000"/>
    <w:rsid w:val="00A26C3F"/>
    <w:rsid w:val="00A26E8B"/>
    <w:rsid w:val="00A32750"/>
    <w:rsid w:val="00A33BDE"/>
    <w:rsid w:val="00A35099"/>
    <w:rsid w:val="00A36A3B"/>
    <w:rsid w:val="00A36E9C"/>
    <w:rsid w:val="00A42221"/>
    <w:rsid w:val="00A4265E"/>
    <w:rsid w:val="00A43806"/>
    <w:rsid w:val="00A45807"/>
    <w:rsid w:val="00A5275F"/>
    <w:rsid w:val="00A6190B"/>
    <w:rsid w:val="00A61DA7"/>
    <w:rsid w:val="00A63ABA"/>
    <w:rsid w:val="00A63ED0"/>
    <w:rsid w:val="00A66924"/>
    <w:rsid w:val="00A67461"/>
    <w:rsid w:val="00A935A7"/>
    <w:rsid w:val="00A95137"/>
    <w:rsid w:val="00A968B7"/>
    <w:rsid w:val="00A96CB8"/>
    <w:rsid w:val="00AA054D"/>
    <w:rsid w:val="00AA1CAC"/>
    <w:rsid w:val="00AA693A"/>
    <w:rsid w:val="00AB0E11"/>
    <w:rsid w:val="00AB2A08"/>
    <w:rsid w:val="00AB369C"/>
    <w:rsid w:val="00AC0591"/>
    <w:rsid w:val="00AC3173"/>
    <w:rsid w:val="00AC5331"/>
    <w:rsid w:val="00AC600F"/>
    <w:rsid w:val="00AC7E4B"/>
    <w:rsid w:val="00AD0F21"/>
    <w:rsid w:val="00AD19A6"/>
    <w:rsid w:val="00AD7E15"/>
    <w:rsid w:val="00AE3493"/>
    <w:rsid w:val="00AF0BAB"/>
    <w:rsid w:val="00B00BD8"/>
    <w:rsid w:val="00B120A3"/>
    <w:rsid w:val="00B12EDB"/>
    <w:rsid w:val="00B14DC1"/>
    <w:rsid w:val="00B221FE"/>
    <w:rsid w:val="00B23D7A"/>
    <w:rsid w:val="00B2544A"/>
    <w:rsid w:val="00B26B52"/>
    <w:rsid w:val="00B3121C"/>
    <w:rsid w:val="00B41365"/>
    <w:rsid w:val="00B42928"/>
    <w:rsid w:val="00B47421"/>
    <w:rsid w:val="00B50F18"/>
    <w:rsid w:val="00B562AB"/>
    <w:rsid w:val="00B56E5C"/>
    <w:rsid w:val="00B62289"/>
    <w:rsid w:val="00B64054"/>
    <w:rsid w:val="00B65F7B"/>
    <w:rsid w:val="00B66748"/>
    <w:rsid w:val="00B7020A"/>
    <w:rsid w:val="00B75020"/>
    <w:rsid w:val="00B7502C"/>
    <w:rsid w:val="00B76BB9"/>
    <w:rsid w:val="00B77261"/>
    <w:rsid w:val="00B774B6"/>
    <w:rsid w:val="00B83B43"/>
    <w:rsid w:val="00B85CDE"/>
    <w:rsid w:val="00B864DC"/>
    <w:rsid w:val="00B90844"/>
    <w:rsid w:val="00B929E1"/>
    <w:rsid w:val="00B953D3"/>
    <w:rsid w:val="00BA1998"/>
    <w:rsid w:val="00BA21F4"/>
    <w:rsid w:val="00BB193F"/>
    <w:rsid w:val="00BB1A71"/>
    <w:rsid w:val="00BB72CF"/>
    <w:rsid w:val="00BC18F4"/>
    <w:rsid w:val="00BC1956"/>
    <w:rsid w:val="00BC3373"/>
    <w:rsid w:val="00BD1A6C"/>
    <w:rsid w:val="00BD1B9E"/>
    <w:rsid w:val="00BD271D"/>
    <w:rsid w:val="00BD5E02"/>
    <w:rsid w:val="00BD6CFF"/>
    <w:rsid w:val="00BE3CF7"/>
    <w:rsid w:val="00BE5996"/>
    <w:rsid w:val="00BE636E"/>
    <w:rsid w:val="00BF70F8"/>
    <w:rsid w:val="00BF7D74"/>
    <w:rsid w:val="00C042EC"/>
    <w:rsid w:val="00C045D7"/>
    <w:rsid w:val="00C0548A"/>
    <w:rsid w:val="00C10D6F"/>
    <w:rsid w:val="00C137D1"/>
    <w:rsid w:val="00C16003"/>
    <w:rsid w:val="00C205F2"/>
    <w:rsid w:val="00C22561"/>
    <w:rsid w:val="00C25BF9"/>
    <w:rsid w:val="00C2616E"/>
    <w:rsid w:val="00C27054"/>
    <w:rsid w:val="00C27DBD"/>
    <w:rsid w:val="00C3186C"/>
    <w:rsid w:val="00C3268A"/>
    <w:rsid w:val="00C32E17"/>
    <w:rsid w:val="00C3480A"/>
    <w:rsid w:val="00C36436"/>
    <w:rsid w:val="00C4097B"/>
    <w:rsid w:val="00C431F8"/>
    <w:rsid w:val="00C47DCF"/>
    <w:rsid w:val="00C6143B"/>
    <w:rsid w:val="00C61FB7"/>
    <w:rsid w:val="00C63ACE"/>
    <w:rsid w:val="00C63CC9"/>
    <w:rsid w:val="00C82C1D"/>
    <w:rsid w:val="00C872D7"/>
    <w:rsid w:val="00C91FED"/>
    <w:rsid w:val="00C921B0"/>
    <w:rsid w:val="00C96055"/>
    <w:rsid w:val="00CA1D35"/>
    <w:rsid w:val="00CA22DD"/>
    <w:rsid w:val="00CA5BE1"/>
    <w:rsid w:val="00CA6637"/>
    <w:rsid w:val="00CA6920"/>
    <w:rsid w:val="00CB2523"/>
    <w:rsid w:val="00CB775E"/>
    <w:rsid w:val="00CC4DCB"/>
    <w:rsid w:val="00CD0BEF"/>
    <w:rsid w:val="00CD6B0F"/>
    <w:rsid w:val="00CE0B25"/>
    <w:rsid w:val="00CE2A1D"/>
    <w:rsid w:val="00CE4061"/>
    <w:rsid w:val="00CE447B"/>
    <w:rsid w:val="00CE532E"/>
    <w:rsid w:val="00CE6093"/>
    <w:rsid w:val="00CE79F2"/>
    <w:rsid w:val="00CF140D"/>
    <w:rsid w:val="00CF5685"/>
    <w:rsid w:val="00CF589D"/>
    <w:rsid w:val="00D00370"/>
    <w:rsid w:val="00D006A1"/>
    <w:rsid w:val="00D00AC4"/>
    <w:rsid w:val="00D039EA"/>
    <w:rsid w:val="00D05D9E"/>
    <w:rsid w:val="00D06803"/>
    <w:rsid w:val="00D11C25"/>
    <w:rsid w:val="00D122D8"/>
    <w:rsid w:val="00D12ABE"/>
    <w:rsid w:val="00D14A46"/>
    <w:rsid w:val="00D1575D"/>
    <w:rsid w:val="00D160CE"/>
    <w:rsid w:val="00D214D1"/>
    <w:rsid w:val="00D21948"/>
    <w:rsid w:val="00D22157"/>
    <w:rsid w:val="00D23335"/>
    <w:rsid w:val="00D26CE2"/>
    <w:rsid w:val="00D332ED"/>
    <w:rsid w:val="00D35507"/>
    <w:rsid w:val="00D430F1"/>
    <w:rsid w:val="00D465E3"/>
    <w:rsid w:val="00D47081"/>
    <w:rsid w:val="00D70A93"/>
    <w:rsid w:val="00D70E72"/>
    <w:rsid w:val="00D72C76"/>
    <w:rsid w:val="00D75ED7"/>
    <w:rsid w:val="00D814FD"/>
    <w:rsid w:val="00D84615"/>
    <w:rsid w:val="00D86DCF"/>
    <w:rsid w:val="00D92F5E"/>
    <w:rsid w:val="00D94037"/>
    <w:rsid w:val="00DA00EB"/>
    <w:rsid w:val="00DA48B3"/>
    <w:rsid w:val="00DA6EFF"/>
    <w:rsid w:val="00DB0330"/>
    <w:rsid w:val="00DB1F75"/>
    <w:rsid w:val="00DB2BF3"/>
    <w:rsid w:val="00DB3209"/>
    <w:rsid w:val="00DC30E8"/>
    <w:rsid w:val="00DC57F9"/>
    <w:rsid w:val="00DC6B0A"/>
    <w:rsid w:val="00DD20B7"/>
    <w:rsid w:val="00DD40DF"/>
    <w:rsid w:val="00DD4FA5"/>
    <w:rsid w:val="00DD6B19"/>
    <w:rsid w:val="00DE2643"/>
    <w:rsid w:val="00DE3E0A"/>
    <w:rsid w:val="00DE417B"/>
    <w:rsid w:val="00DF00CE"/>
    <w:rsid w:val="00DF717E"/>
    <w:rsid w:val="00E006A9"/>
    <w:rsid w:val="00E022AD"/>
    <w:rsid w:val="00E0390E"/>
    <w:rsid w:val="00E1647D"/>
    <w:rsid w:val="00E17B45"/>
    <w:rsid w:val="00E36093"/>
    <w:rsid w:val="00E46DE9"/>
    <w:rsid w:val="00E50492"/>
    <w:rsid w:val="00E54767"/>
    <w:rsid w:val="00E5497B"/>
    <w:rsid w:val="00E550FC"/>
    <w:rsid w:val="00E6295F"/>
    <w:rsid w:val="00E676DE"/>
    <w:rsid w:val="00E71001"/>
    <w:rsid w:val="00E7241B"/>
    <w:rsid w:val="00E72456"/>
    <w:rsid w:val="00E757D4"/>
    <w:rsid w:val="00E75C6E"/>
    <w:rsid w:val="00E76DDB"/>
    <w:rsid w:val="00E8007B"/>
    <w:rsid w:val="00E83F9C"/>
    <w:rsid w:val="00E90A8A"/>
    <w:rsid w:val="00E91875"/>
    <w:rsid w:val="00E91EA4"/>
    <w:rsid w:val="00E9465E"/>
    <w:rsid w:val="00E96F69"/>
    <w:rsid w:val="00E9740B"/>
    <w:rsid w:val="00EA24D9"/>
    <w:rsid w:val="00EB2803"/>
    <w:rsid w:val="00EB4983"/>
    <w:rsid w:val="00EB52CE"/>
    <w:rsid w:val="00EB582F"/>
    <w:rsid w:val="00EB7196"/>
    <w:rsid w:val="00EB7603"/>
    <w:rsid w:val="00EC259B"/>
    <w:rsid w:val="00EC3750"/>
    <w:rsid w:val="00EC5108"/>
    <w:rsid w:val="00EC7C6E"/>
    <w:rsid w:val="00ED6D01"/>
    <w:rsid w:val="00EE1214"/>
    <w:rsid w:val="00EE54CE"/>
    <w:rsid w:val="00EF28D7"/>
    <w:rsid w:val="00EF348E"/>
    <w:rsid w:val="00EF404A"/>
    <w:rsid w:val="00EF6277"/>
    <w:rsid w:val="00F005BB"/>
    <w:rsid w:val="00F0066F"/>
    <w:rsid w:val="00F040D6"/>
    <w:rsid w:val="00F11E2F"/>
    <w:rsid w:val="00F12432"/>
    <w:rsid w:val="00F1771D"/>
    <w:rsid w:val="00F2076C"/>
    <w:rsid w:val="00F4214D"/>
    <w:rsid w:val="00F441A6"/>
    <w:rsid w:val="00F44956"/>
    <w:rsid w:val="00F47103"/>
    <w:rsid w:val="00F52316"/>
    <w:rsid w:val="00F53CFA"/>
    <w:rsid w:val="00F60E9E"/>
    <w:rsid w:val="00F63D57"/>
    <w:rsid w:val="00F65DFF"/>
    <w:rsid w:val="00F66C38"/>
    <w:rsid w:val="00F7122E"/>
    <w:rsid w:val="00F74EEF"/>
    <w:rsid w:val="00F83CA3"/>
    <w:rsid w:val="00F863BB"/>
    <w:rsid w:val="00F9097C"/>
    <w:rsid w:val="00F90FBE"/>
    <w:rsid w:val="00F95C15"/>
    <w:rsid w:val="00F9630B"/>
    <w:rsid w:val="00FA4E07"/>
    <w:rsid w:val="00FA56CA"/>
    <w:rsid w:val="00FA7A87"/>
    <w:rsid w:val="00FB0D95"/>
    <w:rsid w:val="00FB47F5"/>
    <w:rsid w:val="00FB763B"/>
    <w:rsid w:val="00FC4864"/>
    <w:rsid w:val="00FC5B90"/>
    <w:rsid w:val="00FD0AA2"/>
    <w:rsid w:val="00FD3191"/>
    <w:rsid w:val="00FE2068"/>
    <w:rsid w:val="00FE2155"/>
    <w:rsid w:val="00FE3303"/>
    <w:rsid w:val="00FE474A"/>
    <w:rsid w:val="00FE738F"/>
    <w:rsid w:val="00FF6EFD"/>
    <w:rsid w:val="07E37AE3"/>
    <w:rsid w:val="14EA0EF4"/>
    <w:rsid w:val="1AF04A08"/>
    <w:rsid w:val="1D3E15EC"/>
    <w:rsid w:val="26C40ED6"/>
    <w:rsid w:val="38397128"/>
    <w:rsid w:val="39507C18"/>
    <w:rsid w:val="397A7B42"/>
    <w:rsid w:val="399A7CBE"/>
    <w:rsid w:val="3F3348D1"/>
    <w:rsid w:val="537137C2"/>
    <w:rsid w:val="5CE768A3"/>
    <w:rsid w:val="61C5466C"/>
    <w:rsid w:val="62760774"/>
    <w:rsid w:val="696857DB"/>
    <w:rsid w:val="70D54F3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qFormat="1" w:unhideWhenUsed="0" w:uiPriority="65" w:semiHidden="0" w:name="Medium List 1 Accent 2"/>
    <w:lsdException w:unhideWhenUsed="0" w:uiPriority="66" w:semiHidden="0" w:name="Medium List 2 Accent 2"/>
    <w:lsdException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qFormat="1" w:unhideWhenUsed="0" w:uiPriority="68" w:semiHidden="0" w:name="Medium Grid 2 Accent 6"/>
    <w:lsdException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hr-H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9"/>
    <w:semiHidden/>
    <w:unhideWhenUsed/>
    <w:uiPriority w:val="99"/>
    <w:pPr>
      <w:spacing w:after="0" w:line="240" w:lineRule="auto"/>
    </w:pPr>
    <w:rPr>
      <w:rFonts w:ascii="Tahoma" w:hAnsi="Tahoma" w:cs="Tahoma"/>
      <w:sz w:val="16"/>
      <w:szCs w:val="16"/>
    </w:rPr>
  </w:style>
  <w:style w:type="paragraph" w:styleId="5">
    <w:name w:val="footer"/>
    <w:basedOn w:val="1"/>
    <w:link w:val="18"/>
    <w:unhideWhenUsed/>
    <w:uiPriority w:val="99"/>
    <w:pPr>
      <w:tabs>
        <w:tab w:val="center" w:pos="4536"/>
        <w:tab w:val="right" w:pos="9072"/>
      </w:tabs>
      <w:spacing w:after="0" w:line="240" w:lineRule="auto"/>
    </w:pPr>
  </w:style>
  <w:style w:type="paragraph" w:styleId="6">
    <w:name w:val="header"/>
    <w:basedOn w:val="1"/>
    <w:link w:val="17"/>
    <w:unhideWhenUsed/>
    <w:uiPriority w:val="99"/>
    <w:pPr>
      <w:tabs>
        <w:tab w:val="center" w:pos="4536"/>
        <w:tab w:val="right" w:pos="9072"/>
      </w:tabs>
      <w:spacing w:after="0" w:line="240" w:lineRule="auto"/>
    </w:pPr>
  </w:style>
  <w:style w:type="paragraph" w:styleId="7">
    <w:name w:val="Normal (Web)"/>
    <w:basedOn w:val="1"/>
    <w:unhideWhenUsed/>
    <w:uiPriority w:val="0"/>
    <w:pPr>
      <w:spacing w:before="100" w:beforeAutospacing="1" w:after="100" w:afterAutospacing="1" w:line="240" w:lineRule="auto"/>
    </w:pPr>
    <w:rPr>
      <w:rFonts w:ascii="Times New Roman" w:hAnsi="Times New Roman" w:eastAsia="Times New Roman" w:cs="Times New Roman"/>
      <w:sz w:val="24"/>
      <w:szCs w:val="24"/>
      <w:lang w:eastAsia="hr-HR"/>
    </w:rPr>
  </w:style>
  <w:style w:type="character" w:styleId="8">
    <w:name w:val="Strong"/>
    <w:basedOn w:val="2"/>
    <w:qFormat/>
    <w:uiPriority w:val="22"/>
    <w:rPr>
      <w:b/>
      <w:bCs/>
    </w:rPr>
  </w:style>
  <w:style w:type="table" w:styleId="9">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Title"/>
    <w:basedOn w:val="1"/>
    <w:link w:val="11"/>
    <w:qFormat/>
    <w:uiPriority w:val="0"/>
    <w:pPr>
      <w:spacing w:after="0" w:line="240" w:lineRule="auto"/>
      <w:jc w:val="center"/>
    </w:pPr>
    <w:rPr>
      <w:rFonts w:ascii="Times New Roman" w:hAnsi="Times New Roman" w:eastAsia="Times New Roman" w:cs="Times New Roman"/>
      <w:b/>
      <w:bCs/>
      <w:sz w:val="24"/>
      <w:szCs w:val="24"/>
      <w:lang w:eastAsia="hr-HR"/>
    </w:rPr>
  </w:style>
  <w:style w:type="character" w:customStyle="1" w:styleId="11">
    <w:name w:val="Naslov Char"/>
    <w:basedOn w:val="2"/>
    <w:link w:val="10"/>
    <w:uiPriority w:val="0"/>
    <w:rPr>
      <w:rFonts w:ascii="Times New Roman" w:hAnsi="Times New Roman" w:eastAsia="Times New Roman" w:cs="Times New Roman"/>
      <w:b/>
      <w:bCs/>
      <w:sz w:val="24"/>
      <w:szCs w:val="24"/>
      <w:lang w:eastAsia="hr-HR"/>
    </w:rPr>
  </w:style>
  <w:style w:type="paragraph" w:styleId="12">
    <w:name w:val="List Paragraph"/>
    <w:basedOn w:val="1"/>
    <w:qFormat/>
    <w:uiPriority w:val="34"/>
    <w:pPr>
      <w:spacing w:after="0" w:line="240" w:lineRule="auto"/>
      <w:ind w:left="720"/>
      <w:contextualSpacing/>
    </w:pPr>
    <w:rPr>
      <w:rFonts w:ascii="Times New Roman" w:hAnsi="Times New Roman" w:eastAsia="Times New Roman" w:cs="Times New Roman"/>
      <w:sz w:val="24"/>
      <w:szCs w:val="24"/>
      <w:lang w:eastAsia="hr-HR"/>
    </w:rPr>
  </w:style>
  <w:style w:type="table" w:customStyle="1" w:styleId="13">
    <w:name w:val="Tablica rešetke 3 - isticanje 11"/>
    <w:basedOn w:val="3"/>
    <w:uiPriority w:val="48"/>
    <w:pPr>
      <w:spacing w:after="0" w:line="240" w:lineRule="auto"/>
    </w:p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bottom w:val="single" w:color="8EAADB" w:themeColor="accent1" w:themeTint="99" w:sz="4" w:space="0"/>
        </w:tcBorders>
      </w:tcPr>
    </w:tblStylePr>
    <w:tblStylePr w:type="nwCell">
      <w:tcPr>
        <w:tcBorders>
          <w:bottom w:val="single" w:color="8EAADB" w:themeColor="accent1" w:themeTint="99" w:sz="4" w:space="0"/>
        </w:tcBorders>
      </w:tcPr>
    </w:tblStylePr>
    <w:tblStylePr w:type="seCell">
      <w:tcPr>
        <w:tcBorders>
          <w:top w:val="single" w:color="8EAADB" w:themeColor="accent1" w:themeTint="99" w:sz="4" w:space="0"/>
        </w:tcBorders>
      </w:tcPr>
    </w:tblStylePr>
    <w:tblStylePr w:type="swCell">
      <w:tcPr>
        <w:tcBorders>
          <w:top w:val="single" w:color="8EAADB" w:themeColor="accent1" w:themeTint="99" w:sz="4" w:space="0"/>
        </w:tcBorders>
      </w:tcPr>
    </w:tblStylePr>
  </w:style>
  <w:style w:type="table" w:customStyle="1" w:styleId="14">
    <w:name w:val="Tamna tablica rešetke 5 - isticanje 11"/>
    <w:basedOn w:val="3"/>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15">
    <w:name w:val="Tablica rešetke 4 - isticanje 11"/>
    <w:basedOn w:val="3"/>
    <w:uiPriority w:val="49"/>
    <w:pPr>
      <w:spacing w:after="0" w:line="240" w:lineRule="auto"/>
    </w:p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16">
    <w:name w:val="Svijetla tablica rešetke 1 - isticanje 51"/>
    <w:basedOn w:val="3"/>
    <w:uiPriority w:val="46"/>
    <w:pPr>
      <w:spacing w:after="0" w:line="240" w:lineRule="auto"/>
    </w:pPr>
    <w:tblPr>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cPr>
        <w:tcBorders>
          <w:bottom w:val="single" w:color="9CC2E5" w:themeColor="accent5" w:themeTint="99" w:sz="12" w:space="0"/>
        </w:tcBorders>
      </w:tcPr>
    </w:tblStylePr>
    <w:tblStylePr w:type="lastRow">
      <w:rPr>
        <w:b/>
        <w:bCs/>
      </w:rPr>
      <w:tcPr>
        <w:tcBorders>
          <w:top w:val="double" w:color="9CC2E5" w:themeColor="accent5" w:themeTint="99" w:sz="2" w:space="0"/>
        </w:tcBorders>
      </w:tcPr>
    </w:tblStylePr>
    <w:tblStylePr w:type="firstCol">
      <w:rPr>
        <w:b/>
        <w:bCs/>
      </w:rPr>
    </w:tblStylePr>
    <w:tblStylePr w:type="lastCol">
      <w:rPr>
        <w:b/>
        <w:bCs/>
      </w:rPr>
    </w:tblStylePr>
  </w:style>
  <w:style w:type="character" w:customStyle="1" w:styleId="17">
    <w:name w:val="Zaglavlje Char"/>
    <w:basedOn w:val="2"/>
    <w:link w:val="6"/>
    <w:uiPriority w:val="99"/>
  </w:style>
  <w:style w:type="character" w:customStyle="1" w:styleId="18">
    <w:name w:val="Podnožje Char"/>
    <w:basedOn w:val="2"/>
    <w:link w:val="5"/>
    <w:qFormat/>
    <w:uiPriority w:val="99"/>
  </w:style>
  <w:style w:type="character" w:customStyle="1" w:styleId="19">
    <w:name w:val="Tekst balončića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7C0B5-E8C4-4CF5-8A3A-5DE7D9D8E589}">
  <ds:schemaRefs/>
</ds:datastoreItem>
</file>

<file path=docProps/app.xml><?xml version="1.0" encoding="utf-8"?>
<Properties xmlns="http://schemas.openxmlformats.org/officeDocument/2006/extended-properties" xmlns:vt="http://schemas.openxmlformats.org/officeDocument/2006/docPropsVTypes">
  <Template>Normal</Template>
  <Pages>1</Pages>
  <Words>4587</Words>
  <Characters>26149</Characters>
  <Lines>217</Lines>
  <Paragraphs>61</Paragraphs>
  <TotalTime>12</TotalTime>
  <ScaleCrop>false</ScaleCrop>
  <LinksUpToDate>false</LinksUpToDate>
  <CharactersWithSpaces>30675</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2019-02-04T07:17:00Z</dcterms:created>
  <dc:creator>Municipal d.o.o.</dc:creator>
  <cp:lastModifiedBy>google1582797084</cp:lastModifiedBy>
  <dcterms:modified xsi:type="dcterms:W3CDTF">2023-02-15T19:44:09Z</dcterms:modified>
  <cp:revision>516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B19722B12A784F5B84306093FBB343AF</vt:lpwstr>
  </property>
</Properties>
</file>