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E8" w:rsidRDefault="008971E8" w:rsidP="008971E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00A7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971E8" w:rsidRPr="00F734F9" w:rsidRDefault="008971E8" w:rsidP="008971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734F9">
        <w:rPr>
          <w:rFonts w:ascii="Times New Roman" w:hAnsi="Times New Roman" w:cs="Times New Roman"/>
          <w:color w:val="000000"/>
        </w:rPr>
        <w:t xml:space="preserve">Osim Općeg i posebnog dijela, sastavni dio proračuna Općine </w:t>
      </w:r>
      <w:r>
        <w:rPr>
          <w:rFonts w:ascii="Times New Roman" w:hAnsi="Times New Roman" w:cs="Times New Roman"/>
          <w:color w:val="000000"/>
        </w:rPr>
        <w:t xml:space="preserve">Podcrkavlje </w:t>
      </w:r>
      <w:r w:rsidRPr="00F734F9">
        <w:rPr>
          <w:rFonts w:ascii="Times New Roman" w:hAnsi="Times New Roman" w:cs="Times New Roman"/>
          <w:color w:val="000000"/>
        </w:rPr>
        <w:t xml:space="preserve">za  </w:t>
      </w:r>
      <w:r>
        <w:rPr>
          <w:rFonts w:ascii="Times New Roman" w:hAnsi="Times New Roman" w:cs="Times New Roman"/>
          <w:color w:val="000000"/>
        </w:rPr>
        <w:t>2024. godinu</w:t>
      </w:r>
      <w:r w:rsidRPr="00F734F9">
        <w:rPr>
          <w:rFonts w:ascii="Times New Roman" w:hAnsi="Times New Roman" w:cs="Times New Roman"/>
          <w:color w:val="000000"/>
        </w:rPr>
        <w:t xml:space="preserve"> su</w:t>
      </w:r>
    </w:p>
    <w:p w:rsidR="008971E8" w:rsidRPr="00F734F9" w:rsidRDefault="008971E8" w:rsidP="008971E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71E8" w:rsidRPr="00D05B14" w:rsidRDefault="008971E8" w:rsidP="008971E8">
      <w:pPr>
        <w:pStyle w:val="Odlomakpopisa"/>
        <w:numPr>
          <w:ilvl w:val="0"/>
          <w:numId w:val="1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D05B14">
        <w:rPr>
          <w:b/>
          <w:bCs/>
          <w:sz w:val="24"/>
          <w:szCs w:val="24"/>
        </w:rPr>
        <w:t>OBRAZLOŽENJE OPĆEG DIJELA PRORAČUNA</w:t>
      </w:r>
    </w:p>
    <w:p w:rsidR="008971E8" w:rsidRPr="00F734F9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 xml:space="preserve">Obrazloženje općeg dijela Proračuna Općine </w:t>
      </w:r>
      <w:r>
        <w:rPr>
          <w:rFonts w:ascii="Times New Roman" w:hAnsi="Times New Roman" w:cs="Times New Roman"/>
          <w:color w:val="000000"/>
        </w:rPr>
        <w:t>Podcrkavlje s</w:t>
      </w:r>
      <w:r w:rsidRPr="00F734F9">
        <w:rPr>
          <w:rFonts w:ascii="Times New Roman" w:hAnsi="Times New Roman" w:cs="Times New Roman"/>
          <w:color w:val="000000"/>
        </w:rPr>
        <w:t xml:space="preserve">adrži obrazloženje prihoda i rashoda, primitaka i izdataka proračuna i obrazloženje prenesenog manjka odnosno viška proračuna: </w:t>
      </w:r>
    </w:p>
    <w:p w:rsidR="008971E8" w:rsidRPr="00F734F9" w:rsidRDefault="008971E8" w:rsidP="00897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1. OBRAZLOŽENJA OPĆEG DIJELA IZVJEŠTAJA OSTVARENIH PRIHODA I RASHODA, PRIMITAKA I IZDATAKA</w:t>
      </w:r>
    </w:p>
    <w:p w:rsidR="008971E8" w:rsidRPr="00F734F9" w:rsidRDefault="008971E8" w:rsidP="008971E8">
      <w:pPr>
        <w:pStyle w:val="Odlomakpopisa"/>
        <w:spacing w:after="0"/>
        <w:ind w:left="0"/>
      </w:pPr>
      <w:r w:rsidRPr="00F734F9">
        <w:t>Pregled ostvarenih prihoda i primitaka daje se u slijedećoj tablici: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3.190.400,00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3.321.330,00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3.388.220,00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824.550,00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828.260,00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829.550,00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824.550,00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828.260,00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829.550,00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1.833.810,00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1.855.180,00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1.892.340,00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1.562.000,00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1.569.750,00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1.601.160,00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610,00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740,00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19.110,00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19.480,00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151.200,00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154.230,00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114.450,00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116.730,00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5241 Pomoći - državni proračun -DV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47.601,50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49.870,00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4.720,00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4.810,00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43.100,00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45.150,00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46.040,00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1,50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410.838,50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434.260,00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1.040,00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1.060,00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21.420,00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96.390,00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214.200,00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415 Dodjela grobnog mjesta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3.210,00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43.150,00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44.020,00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55.838,50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61.420,00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67.560,00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13.930,00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240,00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6201 Nenamjenske donacije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480,00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1101 Opći prihodi i primici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147.620,00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5.350,00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19.420,00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19.810,00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13.920,00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5.360,00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:rsidR="008971E8" w:rsidRPr="00F734F9" w:rsidRDefault="008971E8" w:rsidP="008971E8">
      <w:pPr>
        <w:pStyle w:val="Odlomakpopisa"/>
        <w:spacing w:after="0"/>
        <w:ind w:left="0"/>
        <w:rPr>
          <w:sz w:val="18"/>
          <w:szCs w:val="18"/>
        </w:rPr>
      </w:pPr>
    </w:p>
    <w:p w:rsidR="008971E8" w:rsidRPr="00F734F9" w:rsidRDefault="008971E8" w:rsidP="008971E8">
      <w:pPr>
        <w:pStyle w:val="Odlomakpopisa"/>
        <w:spacing w:after="0"/>
        <w:ind w:firstLine="414"/>
      </w:pPr>
    </w:p>
    <w:p w:rsidR="008971E8" w:rsidRDefault="008971E8" w:rsidP="008971E8">
      <w:pPr>
        <w:pStyle w:val="Odlomakpopisa"/>
        <w:spacing w:after="0"/>
        <w:ind w:left="0"/>
      </w:pPr>
    </w:p>
    <w:p w:rsidR="008971E8" w:rsidRPr="00F734F9" w:rsidRDefault="008971E8" w:rsidP="008971E8">
      <w:pPr>
        <w:pStyle w:val="Odlomakpopisa"/>
        <w:spacing w:after="0"/>
        <w:ind w:left="0"/>
      </w:pPr>
      <w:r w:rsidRPr="00F734F9">
        <w:t>Pregled ostvarenih rashoda i izdataka daje se u slijedećoj tablici: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1300"/>
        <w:gridCol w:w="1300"/>
        <w:gridCol w:w="1300"/>
      </w:tblGrid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PRORAČUN ZA 2024. GODINU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PROJEKCIJA ZA 2025. GODINU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PROJEKCIJA ZA 2026. GODINU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1.126.970,00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1.207.090,00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1.231.390,00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419.620,00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439.360,00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127.500,00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133.870,00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136.550,00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1101 Opći prihodi i primici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147.620,00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8.470,00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15.750,00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16.060,00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128.100,00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130.660,00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5241 Pomoći - državni proračun -DV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502.030,00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544.430,00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544.100,00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239.300,00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266.240,00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256.260,00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21.420,00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96.390,00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415 Dodjela grobnog mjesta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3.210,00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28.130,00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28.680,00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45.620,00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50.180,00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55.200,00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50.080,00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51.070,00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5201 Pomoći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890,00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3.040,00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3.090,00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23.100,00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23.570,00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3.680,00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3.750,00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6201 Nenamjenske donacije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21.240,00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22.330,00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20.650,00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21.680,00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22.110,00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590,00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710,00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4.060,00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1.370,00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1.390,00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61.440,00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58.500,00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61.440,00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62.660,00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153.920,00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157.000,00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141.300,00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148.360,00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151.330,00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5.040,00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5.140,00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1.954.930,00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2.052.810,00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2.094.170,00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5.360,00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720 Prihodi od prodaje nefin. imovine u vlasništvu RH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5.360,00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1.025.930,00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1.077.360,00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1.099.190,00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96.600,00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98.560,00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214.200,00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72.450,00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73.910,00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4201 Ostali prihodi po posebnim propisima - DV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2.890,00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3.180,00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654.000,00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678.830,00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692.420,00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2.620,00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2.670,00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13.650,00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13.920,00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964.950,00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984.260,00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21.420,00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857.000,00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835.800,00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852.530,00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108.150,00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110.310,00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BDD7EE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 w:rsidRPr="00DB2425">
              <w:rPr>
                <w:sz w:val="18"/>
                <w:szCs w:val="18"/>
              </w:rPr>
              <w:t>82.470,00</w:t>
            </w:r>
          </w:p>
        </w:tc>
      </w:tr>
      <w:tr w:rsidR="008971E8" w:rsidTr="00801004">
        <w:tc>
          <w:tcPr>
            <w:tcW w:w="5518" w:type="dxa"/>
          </w:tcPr>
          <w:p w:rsidR="008971E8" w:rsidRDefault="008971E8" w:rsidP="00801004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80.850,00</w:t>
            </w:r>
          </w:p>
        </w:tc>
        <w:tc>
          <w:tcPr>
            <w:tcW w:w="1300" w:type="dxa"/>
          </w:tcPr>
          <w:p w:rsidR="008971E8" w:rsidRDefault="008971E8" w:rsidP="00801004">
            <w:pPr>
              <w:pStyle w:val="Odlomakpopisa"/>
              <w:spacing w:after="0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80.850,00</w:t>
            </w:r>
          </w:p>
        </w:tc>
        <w:tc>
          <w:tcPr>
            <w:tcW w:w="1300" w:type="dxa"/>
            <w:shd w:val="clear" w:color="auto" w:fill="E6FFE5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i/>
                <w:sz w:val="14"/>
                <w:szCs w:val="18"/>
              </w:rPr>
            </w:pPr>
            <w:r w:rsidRPr="00DB2425">
              <w:rPr>
                <w:i/>
                <w:sz w:val="14"/>
                <w:szCs w:val="18"/>
              </w:rPr>
              <w:t>82.470,00</w:t>
            </w:r>
          </w:p>
        </w:tc>
      </w:tr>
      <w:tr w:rsidR="008971E8" w:rsidRPr="00DB2425" w:rsidTr="00801004">
        <w:tc>
          <w:tcPr>
            <w:tcW w:w="5518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3.340.750,00</w:t>
            </w:r>
          </w:p>
        </w:tc>
        <w:tc>
          <w:tcPr>
            <w:tcW w:w="1300" w:type="dxa"/>
            <w:shd w:val="clear" w:color="auto" w:fill="505050"/>
          </w:tcPr>
          <w:p w:rsidR="008971E8" w:rsidRPr="00DB2425" w:rsidRDefault="008971E8" w:rsidP="00801004">
            <w:pPr>
              <w:pStyle w:val="Odlomakpopisa"/>
              <w:spacing w:after="0"/>
              <w:ind w:left="0"/>
              <w:jc w:val="right"/>
              <w:rPr>
                <w:b/>
                <w:color w:val="FFFFFF"/>
                <w:sz w:val="16"/>
                <w:szCs w:val="18"/>
              </w:rPr>
            </w:pPr>
            <w:r w:rsidRPr="00DB2425">
              <w:rPr>
                <w:b/>
                <w:color w:val="FFFFFF"/>
                <w:sz w:val="16"/>
                <w:szCs w:val="18"/>
              </w:rPr>
              <w:t>3.408.030,00</w:t>
            </w:r>
          </w:p>
        </w:tc>
      </w:tr>
    </w:tbl>
    <w:p w:rsidR="008971E8" w:rsidRPr="00F734F9" w:rsidRDefault="008971E8" w:rsidP="008971E8">
      <w:pPr>
        <w:pStyle w:val="Odlomakpopisa"/>
        <w:spacing w:after="0"/>
        <w:ind w:left="0"/>
        <w:rPr>
          <w:sz w:val="18"/>
          <w:szCs w:val="18"/>
        </w:rPr>
      </w:pPr>
    </w:p>
    <w:p w:rsidR="008971E8" w:rsidRPr="00966398" w:rsidRDefault="008971E8" w:rsidP="008971E8">
      <w:pPr>
        <w:pStyle w:val="Odlomakpopisa"/>
        <w:numPr>
          <w:ilvl w:val="0"/>
          <w:numId w:val="1"/>
        </w:numPr>
        <w:spacing w:after="160" w:line="259" w:lineRule="auto"/>
        <w:ind w:left="426" w:hanging="426"/>
        <w:contextualSpacing/>
        <w:rPr>
          <w:b/>
          <w:bCs/>
          <w:sz w:val="24"/>
          <w:szCs w:val="24"/>
        </w:rPr>
      </w:pPr>
      <w:r w:rsidRPr="00966398">
        <w:rPr>
          <w:b/>
          <w:bCs/>
          <w:sz w:val="24"/>
          <w:szCs w:val="24"/>
        </w:rPr>
        <w:t>OBRAZLOŽENJE POSEBNOG DIJELA PRORAČUNA</w:t>
      </w:r>
    </w:p>
    <w:p w:rsidR="008971E8" w:rsidRPr="00F734F9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>Obrazloženje posebnog dijela proračuna sastoji se od obrazloženja programa koje se daje kroz obrazloženje aktivnosti i projekata: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1001 MJERE I AKTIVNOSTI ZA OSIGURANJE RADA IZ DJELOKRUGA PREDSTAVNIČKOG TIJELA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Cilj: Osiguranje rada predstavničkog, izvršnog i ostalih tijela,  protokolarne aktivnosti, upravljanje </w:t>
      </w:r>
      <w:r>
        <w:rPr>
          <w:rFonts w:ascii="Times New Roman" w:hAnsi="Times New Roman" w:cs="Times New Roman"/>
          <w:color w:val="000000"/>
        </w:rPr>
        <w:lastRenderedPageBreak/>
        <w:t>informacijama i komunikacijama. Transparentnost rada, zadovoljstvo građana donesenim odlukama, poboljšanje standarda, društvena zbivanja, promidžba općine, jačanje gospodarskih, kulturnih, sportskih i drugih veza.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8.000,00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●  AKTIVNOST A100002 SJEDNICE OPĆINSKOG VIJEĆA I NAKNADE PREDSTAVNIČKIM TIJELIMA, planirana u iznosu 6.000,00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A100005 FINANCIRANJE POLITIČKIH STRANAKA I VIJEĆNIKA LISTE GRUPE BIRAČA, planirana u iznosu 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1002 MJERE I AKTIVNOSTI ZA OSIGURANJE RADA IZ DJELOKRUGA IZVRŠNOG TIJELA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87.800,00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A100001 POSLOVANJE UREDA NAČELNIKA, planirana u iznosu 38.300,00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AKTIVNOST A100003 MEĐUOPĆINSKA, MEĐUREGIONALNA I MEĐUNARODNA SURADNJA, planirana u iznosu 4.000,00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A100004 PRORAČUNSKA PRIČUVA, planirana u iznosu 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A100006 NAKNADE POVJERENSTVIMA ZA PROVEDBU NATJEČAJA I OSTALIH AKTIVNOSTI, planirana u iznosu 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A100007 PROMIDŽBA I INFORMIRANJE OPĆINE, planirana u iznosu 13.500,00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A100008 PRIGODNE PROSLAVE OPĆINE, planirana u iznosu 22.500,00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A100040 REDOVITA DJELATNOST GRADSKOG DRUŠTVA CRVENOG KRIŽA, planirana u iznosu 2.500,00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PROGRAM: 2001 MJERE I AKTIVNOSTI ZA OSIGURANJE RADA IZ DJELOKRUGA JEDINSTVENOG UPRAVNOG ODJELA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248.350,00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A100010 ADMINISTRATIVNO, TEHNIČKO I STRUČNO OSOBLJE JEDINSTVENOG UPRAVNOG ODJELA, planirana u iznosu 106.000,00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A100011 REDOVITI TROŠKOVI POSLOVANJA JAVNE UPRAVE I ADMINISTRACIJE, planirana u iznosu 71.200,00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A100113 ODVJETNIČKE, JAVNOBILJEŽNIČKE I OSTALE USLUGE VANJSKIH SLUŽBI, planirana u iznosu 63.500,00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A100114 FINANCIJSKI I OSTALI RASHODI POSLOVANJA, planirana u iznosu 7.650,00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2002 UPRAVLJANJE IMOVINOM OPĆINE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 programa: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 uspješnosti programa očituje se u brzom i kvalitetnom rješavanju problema u okviru održavanja objekata, smanjenim troškovima i kontinuiranom korištenju istih. Planiran je u iznosu 84.600,00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A100013 ODRŽAVANJE OBJEKATA ZA REDOVITO KORIŠTENJE - REŽIJSKI TROŠKOVI, planirana u iznosu 15.300,00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A100014 ODRŽAVANJE POSTROJENJA I OPREME, planirana u iznosu 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A100015 ODRŽAVANJE ZGRADA U VLASNIŠTVU OPĆINE, planirana u iznosu 40.100,00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A100057 ODRŽAVANJE VOZNOG PARKA, planirana u iznosu 3.200,00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KAPITALNI PROJEKT K100016 OPREMANJE OPĆINSKE ZGRADE, planiran u iznosu 8.000,00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K100054 KUPNJA ZEMLJIŠTA, planiran u iznosu 10.000,00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K100209 NABAVA OPREME ZA POTREBE MANIFESTACIJA, planiran u iznosu 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T100170 RUŠENJE DERUTNIH ZGRADA U VLASNIŠTVU OPĆINE, planiran u iznosu 1.000,00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2003 PROSTORNO PLANSKA DOKUMENTACIJA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 uspješnosti programa očituje se u brzom i kvalitetnom rješavanju problema u okviru održavanja objekata, smanjenim troškovima i kontinuiranom korištenju istih te, te održavanja i nabava oprem Planiran je u iznosu 13.000,00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A100017 IZMJENE I DOPUNE PROSTORNOG PLANA UREĐENJA OPĆINE, planirana u iznosu 13.000,00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2004 ODRŽAVANJE OBJEKATA I UREĐAJA KOMUNALNE INFRASTRUKTURE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Cilj provođenja navedenih aktivnosti u sklopu programa je održavanje postignutog standarda komunalne infrastrukture i komunalnih djelatnosti: prometnica, vertikalne i horizontalne signalizacije, javne rasvjete, povećanje kvalitete pokrivenosti urbanom opremom, izgled općine u posebnim prigodama od značaja za turizam.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Pokazatelji uspješnosti provedbe programa očituju se u smanjenju opasnih mjesta na prometnicama, boljoj regulaciji prometa, zadovoljstvu građana i turista doživljajem općine u posebnim prilikama, kvalitetnija i masovnija rekreacija građana i djece. Planiran je u iznosu 175.000,00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A100018 ODRŽAVANJE JAVNE RASVJETE, planirana u iznosu 45.000,00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A100019 ODRŽAVANJE GROBLJA I MRTVAČNICE, planirana u iznosu 27.000,00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A100020 REDOVITO ODRŽAVANJE NERAZVRSTANIH CESTA, planirana u iznosu 40.000,00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A100021 ODRŽAVANJE KANALSKE MREŽE, planirana u iznosu 20.000,00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AKTIVNOST A100023 ODRŽAVANJE JAVNIH ZELENIH POVRŠINA, planirana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A100106 ODRŽAVANJE JAVNO PROMETNIH POVRŠINA - NOGOSTUPI, planirana u iznosu 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A100138 ODRŽAVANJE IGRALIŠTA ZA DJECU I MLADE, planirana u iznosu 6.000,00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T100139 NABAVA OPREME ILI RADNOG STROJA - DILJ GORA D.O.O., planiran u iznosu 7.000,00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2005 IZGRADNJA OBJEKATA I UREĐAJA KOMUNALNE INFRASTRUKTURE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Cilj programa je poboljšati prometni režim i mrežu u skladu s općinskim potrebama, povećati sigurnost i protočnost prometa, ukloniti uočene nedostatke u vertikalnoj i horizontalnoj signalizaciji, pripremati projektnu dokumentaciju za buduće investicije, razvoj mreže javne rasvjete, te uređivati biciklističke staze i javne površine.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Pokazatelji uspješnosti provedbe programa očituje se u samoj realizaciji navedenih kapitalnih projekata i aktivnosti. Planiran je u iznosu 1.852.000,00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K100225 UREĐENJE GROBLJA, planiran u iznosu 34.000,00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K100228 ASFALTIRANJE CESTE U GRABARJU, planiran u iznosu 10.000,00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K100229 REKONSTRUKCIJA PUTA, planiran u iznosu 70.000,00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K100230 UREĐENJE KUĆE ZA ODMOR, planiran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K100231 NOGOMETNO IGRALIŠTE ZDENCI, planiran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K100232 IZGRADNJA OBJEKTA ZA POTRBE KOMUNALNOG PODUZEĆA, planiran u iznosu 70.000,00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K100233 REKONSTRUKCIJA PRODUŽETAKA VINOGRADSKE I SV. RUŽARIJE U TOMICI, planiran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K100235 KAPITALNI PROJEKT DOM ZA STARIJE I NEMOĆNE,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K100077 IZGRADNJA VODOVODNOG SUSTAVA,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KAPITALNI PROJEKT K100122 REKONSTRUKCIJA TRAKTORSKOG PUTA U ŠUMSKU CESTU, planiran u iznosu 200.000,00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K100124 IGRALIŠTA ZA DJECU I MLADE, planiran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K100142 NADOGRADNJA JAVNE RASVJETE,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K100144 IZGRADNJA NOGOSTUPA I PJEŠAČKIH STAZA, planiran u iznosu 58.000,00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K100148 IZGRADNJA DRUŠTVENOG DOMA U NASELJU MATKOVIĆ MALA,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K100161 SANACIJA CESTE U TRNOVAČKOJ ULICI U TOMICI, planiran u iznosu 365.000,00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K100173 DOGRADNJA DJEČJEG VRTIĆA "BAMBI PODCRKAVLJE", planiran u iznosu 650.000,00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K100210 UREĐENJE GROBLJA U NASELJU RASTUŠJE, planiran u iznosu 20.000,00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K100214 UREĐENJE GROBLJA U NASELJU GRABARJE, planiran u iznosu 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K100220 OPREMANJE I ULAGANJE NA DRUŠTVENIM DOMOVIMA, planiran u iznosu 180.000,00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K100221 OPREMANJE I ULAGANJE NA SPORTSKOM OBJEKTU U TOMICI,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K100222 IZGRADNJA PARKIRALIŠTA DRUŠTVENI DOM RASTUŠJE,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2006 PROSTORNO UREĐENJE I UNAPREĐENJE STANOVANJA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osiguravaju sredstva za redovito održavanje imovine Općine.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Pokazatelji uspješnosti provedbe programa očituje se u samoj realizaciji navedenih kapitalnih projekata i aktivnosti. Planiran je u iznosu 47.000,00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K100064 OPREMANJE DRUŠTVENIH DOMOVA, planiran u iznosu </w:t>
      </w:r>
      <w:r>
        <w:rPr>
          <w:rFonts w:ascii="Times New Roman" w:hAnsi="Times New Roman" w:cs="Times New Roman"/>
          <w:color w:val="000000"/>
        </w:rPr>
        <w:lastRenderedPageBreak/>
        <w:t>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K100169 POSTAVLJANJE OGLASNIH PLOČA NA PODRUČJU OPĆINE, planiran u iznosu 7.000,00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T100153 POTICAJI ZA KUPNJU PRVE NEKRETNINE, planiran u iznosu 15.000,00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2007 RAZVOJ POLJOPRIVREDE I GOSPODARSTVA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Sredstva do 30.06.2023.g nisu korištena. Planiran je u iznosu 6.600,00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A100031 POTICANJE POLJOPRIVREDNE DJELATNOSTI, planirana u iznosu 2.600,00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A100080 ELEMENTARNE NEPOGODE, planirana u iznosu 4.000,00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2008 PROTUPOŽARNA I CIVILNA ZAŠTITA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Broj intervencija u tekućoj godini, rad na prevenciji, opremanje postrojbi osobnom zaštitnom opremom, nedostajućom tehnikom, alatima i drugo. Planiran je u iznosu 62.500,00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A100032 SUFINANCIRANJE DOBROVOLJNOG VATROGASNOG DRUŠTVA, planirana u iznosu 50.000,00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A100067 INTERVENCIJE JAVNE VATROGASNE POSTROJBE, planirana u iznosu 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A100068 RAZVOJ SUSTAVA CIVILNE ZAŠTITE, planirana u iznosu 12.000,00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2009 RAZVOJ SPORTA I REKREACIJE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 održavanje postojećih sportskih objekata i terena te stvaranje boljih uvjeta za razvoj i promociju sporta u općini, povećanje broja korisnika sportskih objekata i sportskih terena, povećanje broja građana uključenih u rekreativne aktivnosti te pozitivan razvoj zajednice kao i  promocija općine Podcrkavlje u zemlji i van zemlje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Zadovoljavanje javnih potreba građana u sportu, kako natjecateljskom, rekreacijskom, školskom sportu, sportu mladih te sportu osoba s invaliditetom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Podizanje kvalitete usluga i povećanje broja korisnika sportskih objekata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Veće zadovoljstvo građana kroz kvalitetno, ugodno i sigurno korištenje sportske infrastrukture, te </w:t>
      </w:r>
      <w:r>
        <w:rPr>
          <w:rFonts w:ascii="Times New Roman" w:hAnsi="Times New Roman" w:cs="Times New Roman"/>
          <w:color w:val="000000"/>
        </w:rPr>
        <w:lastRenderedPageBreak/>
        <w:t>dugoročna kontrola, odnosno smanjenje troškova zbog pravilnog Planiran je u iznosu 59.500,00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A100070 SPORTSKE STIPENDIJE, planirana u iznosu 1.500,00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A100073 DJELOVANJE SPORTSKIH UDRUGA, planirana u iznosu 32.000,00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A100103 ODRŽAVANJE SPORTSKIH OBJEKATA, planirana u iznosu 6.000,00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K100104 DODATNO ULAGANJE NA SPORTSKIM OBJEKTIMA, planiran u iznosu 20.000,00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2010 JAVNE POTREBE U KULTURI I RELIGIJI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utvrđuju aktivnosti, poslovi, djelatnosti, akcije i manifestacije u kulturi od značenja za općinu Podcrkavlje kao i njegovu promociju na svim razinama suradnje. Posebice se podržava i potiče kulturno umjetničko stvaralaštvo, programi ustanova u kulturi, te akcije i manifestacije koje doprinose promicanju kulture. Osnovni cilj programa je unapređenje kvalitete života stanovnika općine Podcrkavlje, a posebni ciljevi programa su osiguranje financijskih sredstava za djelovanje udruga u kulturi te zadovoljenje kulturnih potreba žitelja općine Podcrkavlje.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financiranih projekata u kulturi,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održanih manifestacija (posjetitelja). Planiran je u iznosu 41.700,00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A100035 KULTURNO UMJETNIČKI AMATERIZAM, planirana u iznosu 6.700,00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A100038 OČUVANJE SAKRALNE BAŠTINE, planirana u iznosu 12.000,00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A100074 KULTURNE MANIFESTACIJE OD INTERESA ZA OPĆINU, planirana u iznosu 3.000,00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K100186 RESTAURACIJA CRKVE SVETOG BENEDIKTA, planiran u iznosu 20.000,00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2011 SOCIJALNA SKRB I NOVČANA POMOĆ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Cilj:  razvoj sustava socijalne skrbi u Podcrkavlju, kroz financiranje raznih oblika socijalnih pomoći i usluga socijalno ugroženim osobama, osobama s financijskim i/ili zdravstvenim poteškoćama, </w:t>
      </w:r>
      <w:r>
        <w:rPr>
          <w:rFonts w:ascii="Times New Roman" w:hAnsi="Times New Roman" w:cs="Times New Roman"/>
          <w:color w:val="000000"/>
        </w:rPr>
        <w:lastRenderedPageBreak/>
        <w:t>umirovljenicima slabijeg imovnog stanja te financiranje nataliteta.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 Sustavno i kontinuirano pružanje raznih i što kvalitetnijih usluga socijalno najugroženijih skupina građana, sve veći broj rođene djece, poticanje obrazovanja mladih, pomoć sve većem broju obitelji te sustavna briga o djeci i mladima kroz razne aktivnosti. Planiran je u iznosu 40.700,00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A100041 JEDNOKRATNE NOVČANE POMOĆI OBITELJIMA I KUĆANSTVIMA, planirana u iznosu 6.700,00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A100042 NAKNADA ZA NOVOROĐENČAD, planirana u iznosu 7.000,00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A100048 STIPENDIRANJE STUDENATA, planirana u iznosu 10.000,00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A100075 DARIVANJE POVODOM SV. NIKOLE, planirana u iznosu 1.000,00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A100076 JEDNOKRATNE POMOĆI OBITELJIMA I KUĆANSTVIMA U NARAVI, planirana u iznosu 4.000,00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A100111 SUFINANCIRANJE RADNIH BILJEŽNICA I OSTALOG ŠKOLSKOG PRIBORA OSNOVNOŠKOLCIMA I SREDNJOŠKOLCIMA, planirana u iznosu 12.000,00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2013 JAVNE POTREBE U OBRAZOVANJU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Programom se želi pružiti podrška školi u provođenju projekata, te djeci i mladima u pohađanju obrazovnih programa. Osnovni cilj programa je razvoj ljudskih potencijala. Posebni ciljevi programa su osiguranje dijela financijskih sredstava za realizaciju projekata škole usmjerenih na razvoj i unapređenje odgoja i obrazovanja.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Pokazatelji uspješnosti: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učenika osnovne škole kojima se financira nabava radnih materijala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broj učenika osnovne škola kojima se sufinanciraju vannastavne aktivnosti Planiran je u iznosu 4.600,00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A100051 FINANCIRANJE ŠKOLSKOG PRIBORA PRVAŠIĆIMA, planirana u iznosu 600,00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A100082 SUFINANCIRANJE KAZALIŠNIH I OSTALIH PREDSTAVA, planirana u iznosu 700,00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A100115 SUFINANCIRANJE ŠKOLE ZA DJECU S TEŠKOĆAMA U RAZVOJU, planirana u iznosu 1.300,00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A100140 FINANCIRANJE VANŠKOLSKIH AKTIVNOSTI, planirana u iznosu </w:t>
      </w:r>
      <w:r>
        <w:rPr>
          <w:rFonts w:ascii="Times New Roman" w:hAnsi="Times New Roman" w:cs="Times New Roman"/>
          <w:color w:val="000000"/>
        </w:rPr>
        <w:lastRenderedPageBreak/>
        <w:t>2.000,00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2014 ZAŠTITA OKOLIŠA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Osiguranje zdravog načina života kroz zaštitu okoliša.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Povećanjem osnovnih životnih uvjeta socijalno ugroženim obiteljima i domaćinstvima postiže se veće zadovoljstvo cjelokupnog stanovništva i smanjuje broj društveno neprihvatljivog ponašanja. Planiran je u iznosu 40.000,00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A100087 VETERINARSKO - HIGIJENIČARSKI POSLOVI, planirana u iznosu 1.500,00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A100088 DERATIZACIJA I DEZINSEKCIJA, planirana u iznosu 25.000,00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A100089 FINANCIRANJE RADA SKLONIŠTA ZA ŽIVOTINJE, planirana u iznosu 3.500,00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A100109 SANACIJA ODLAGALIŠTA OTPADA, planirana u iznosu 2.500,00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A100156 POTICAJNA NAKNADA ZA  SMANJENJE KOLIČINE MIJEŠANOG KOMUNALNOG OTPADA, planirana u iznosu 3.500,00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K100026 SELEKTIVNO SAKUPLJANJE OTPADA, planiran u iznosu 1.500,00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K100141 NADZIRANJE DIVLJIH DEPONIJA, planiran u iznosu 2.500,00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2015 AKTIVNA POLITIKA ZAPOŠLJAVANJA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Cilj: Zapošljavanje teže </w:t>
      </w:r>
      <w:proofErr w:type="spellStart"/>
      <w:r>
        <w:rPr>
          <w:rFonts w:ascii="Times New Roman" w:hAnsi="Times New Roman" w:cs="Times New Roman"/>
          <w:color w:val="000000"/>
        </w:rPr>
        <w:t>zapošljive</w:t>
      </w:r>
      <w:proofErr w:type="spellEnd"/>
      <w:r>
        <w:rPr>
          <w:rFonts w:ascii="Times New Roman" w:hAnsi="Times New Roman" w:cs="Times New Roman"/>
          <w:color w:val="000000"/>
        </w:rPr>
        <w:t xml:space="preserve"> ciljne skupine 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objekata u optimalnom stanju da navedeni mogu koristiti mještanima i udrugama za njihove aktivnosti.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groblja u funkcionalnom stanju, čišćenje i odvoz smeća.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prometnica (zimski period)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Smanjenje količine otpada na javnim površinama.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Održavanje zelenih površina, šetnica, dječjih igrališta u funkcionalnom stanju.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Zapošljavanje nezaposlenih osoba radi pružanja usluge starijim mještanima Općine Podcrkavlje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Pokazatelj uspješnosti: zaposlene  pripadnice ciljane skupine nezaposlenih žena s nižom i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srednjom razinom obrazovanja, koje kontinuirano nailaze na niz poteškoća na tržištu rada, te ujedno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socijalnom uključivanju krajnjih korisnika – starijih i </w:t>
      </w:r>
      <w:proofErr w:type="spellStart"/>
      <w:r>
        <w:rPr>
          <w:rFonts w:ascii="Times New Roman" w:hAnsi="Times New Roman" w:cs="Times New Roman"/>
          <w:color w:val="000000"/>
        </w:rPr>
        <w:t>nem</w:t>
      </w:r>
      <w:proofErr w:type="spellEnd"/>
      <w:r>
        <w:rPr>
          <w:rFonts w:ascii="Times New Roman" w:hAnsi="Times New Roman" w:cs="Times New Roman"/>
          <w:color w:val="000000"/>
        </w:rPr>
        <w:t xml:space="preserve"> Planiran je u iznosu 162.200,00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A100056 POTICANJE ZAPOŠLJAVANJA - JAVNI RADOVI, planirana u iznosu 18.200,00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TEKUĆI PROJEKT T100194 PROJEKT "ZAŽELI - FAZA IV", planiran u iznosu 144.000,00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2017 ZAŠTITA, OČUVANJE I UNAPREĐENJE ZDRAVLJA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Cilj: Za prijevoz pokojnika na obdukciju planirani rashodi iznose 662,95 eura za materijalne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rashode. Planiran je u iznosu 600,00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A100143 PRIJEVOZ POKOJNIKA NA OBDUKCIJU, planirana u iznosu 600,00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2019 UPRAVLJANJE LIKVIDNOŠĆI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Za okvirne kredite za premošćivanje tekuće likvidnosti planirani rashodi iznose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3.314,75 eura za financijske rashode;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Za otplatu dugoročnog kredita „Izgradnja društvenog i vatrogasnog doma u općini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Podcrkavlje“ planirani rashodi iznose 95.464,86 eura, od toga: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Financijski rashodi planirani u iznosu od 15.910,81 eura;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Izdaci za otplatu glavnice primljenih kredita i zajmova planirani u iznosu od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79.554,05 eura. Planiran je u iznosu 95.700,00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A100091 OKVIRNI KREDIT ZA PREMOŠĆIVANJE TEKUĆE LIKVIDNOSTI, planirana u iznosu 1.100,00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A100155 OTPLATA DUGOROČNOG KREDITA "IZGRADNJA DRUŠTVENOG I VATROGASNOG DOMA U OPĆINI PODCRKAVLJE", planirana u iznosu 94.600,00 EUR.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2018 FINANCIRANJE DJEČJEG VRTIĆA BAMBI PODCRKAVLJE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financiranje redovne djelatnosti dječjeg vrtića Bambi Podcrkavlje planirani rashodi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iznose 139.027,14 eura, od toga: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Rashodi za zaposlene planirani u iznosu od 90.649,68 eura;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Materijalni rashodi planirani u iznosu od 44.993,04 eura;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Financijski rashodi planirani u iznosu od 597,25 eura;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-Rashodi za nabavu proizvedene dugotrajne imovine planirani u iznosu 2,787,17 Planiran je u iznosu 179.050,00 EUR, a sadrži slijedeće aktivnosti:</w:t>
      </w:r>
    </w:p>
    <w:p w:rsidR="008971E8" w:rsidRDefault="008971E8" w:rsidP="008971E8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A100159 FINANCIRANJE REDOVNE DJELATNOSTI DJEČJEG VRTIĆA BAMBI PODCRKAVLJE, planirana u iznosu 179.050,00 EUR.</w:t>
      </w:r>
    </w:p>
    <w:p w:rsidR="008971E8" w:rsidRDefault="008971E8" w:rsidP="008971E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71E8" w:rsidRPr="00F734F9" w:rsidRDefault="008971E8" w:rsidP="008971E8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734F9">
        <w:rPr>
          <w:rFonts w:ascii="Times New Roman" w:hAnsi="Times New Roman" w:cs="Times New Roman"/>
          <w:b/>
          <w:bCs/>
          <w:color w:val="000000"/>
        </w:rPr>
        <w:t>Članak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F734F9">
        <w:rPr>
          <w:rFonts w:ascii="Times New Roman" w:hAnsi="Times New Roman" w:cs="Times New Roman"/>
          <w:b/>
          <w:bCs/>
          <w:color w:val="000000"/>
        </w:rPr>
        <w:t>.</w:t>
      </w:r>
    </w:p>
    <w:p w:rsidR="008971E8" w:rsidRPr="00F734F9" w:rsidRDefault="008971E8" w:rsidP="008971E8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  <w:r w:rsidRPr="00F734F9">
        <w:rPr>
          <w:rFonts w:ascii="Times New Roman" w:eastAsia="Times New Roman" w:hAnsi="Times New Roman" w:cs="Times New Roman"/>
          <w:lang w:eastAsia="hr-HR"/>
        </w:rPr>
        <w:t xml:space="preserve">Proračun Općine </w:t>
      </w:r>
      <w:r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za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hAnsi="Times New Roman" w:cs="Times New Roman"/>
          <w:color w:val="000000"/>
        </w:rPr>
        <w:t>2024.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godinu s pripadajućim projekcijama stupa na snagu osmog dana od dana objave u „Služben</w:t>
      </w:r>
      <w:r>
        <w:rPr>
          <w:rFonts w:ascii="Times New Roman" w:eastAsia="Times New Roman" w:hAnsi="Times New Roman" w:cs="Times New Roman"/>
          <w:lang w:eastAsia="hr-HR"/>
        </w:rPr>
        <w:t>im novinama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Općine </w:t>
      </w:r>
      <w:r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>“, a primjenjuje se od 1. siječnja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2024.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godine.</w:t>
      </w:r>
      <w:r>
        <w:rPr>
          <w:rFonts w:ascii="Times New Roman" w:eastAsia="Times New Roman" w:hAnsi="Times New Roman" w:cs="Times New Roman"/>
          <w:lang w:eastAsia="hr-HR"/>
        </w:rPr>
        <w:t xml:space="preserve"> Proračun će biti objavljen i na službenim stranicama Općine Podcrkavlje </w:t>
      </w:r>
      <w:hyperlink r:id="rId5" w:history="1">
        <w:r w:rsidRPr="00480FB6">
          <w:rPr>
            <w:rStyle w:val="Hiperveza"/>
            <w:rFonts w:ascii="Times New Roman" w:eastAsia="Times New Roman" w:hAnsi="Times New Roman" w:cs="Times New Roman"/>
            <w:lang w:eastAsia="hr-HR"/>
          </w:rPr>
          <w:t>www.podcrkavlje.hr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8971E8" w:rsidRPr="007554B6" w:rsidRDefault="008971E8" w:rsidP="00897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3BD" w:rsidRDefault="00BA43BD">
      <w:bookmarkStart w:id="0" w:name="_GoBack"/>
      <w:bookmarkEnd w:id="0"/>
    </w:p>
    <w:sectPr w:rsidR="00BA43BD" w:rsidSect="00BA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3702D56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8"/>
    <w:rsid w:val="000334AE"/>
    <w:rsid w:val="008971E8"/>
    <w:rsid w:val="00B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EC4D-1F32-4E39-9F8A-B59F09C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ahoma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E8"/>
    <w:pPr>
      <w:widowControl/>
      <w:autoSpaceDE/>
      <w:autoSpaceDN/>
      <w:spacing w:after="200" w:line="276" w:lineRule="auto"/>
    </w:pPr>
    <w:rPr>
      <w:rFonts w:eastAsia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34AE"/>
    <w:pPr>
      <w:spacing w:before="5"/>
      <w:jc w:val="right"/>
    </w:pPr>
  </w:style>
  <w:style w:type="paragraph" w:styleId="Tijeloteksta">
    <w:name w:val="Body Text"/>
    <w:basedOn w:val="Normal"/>
    <w:link w:val="TijelotekstaChar"/>
    <w:uiPriority w:val="1"/>
    <w:qFormat/>
    <w:rsid w:val="000334AE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34AE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334AE"/>
    <w:pPr>
      <w:ind w:left="1051" w:hanging="361"/>
    </w:pPr>
    <w:rPr>
      <w:rFonts w:ascii="Times New Roman" w:eastAsia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897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2023-12-05T07:30:00Z</dcterms:created>
  <dcterms:modified xsi:type="dcterms:W3CDTF">2023-12-05T07:31:00Z</dcterms:modified>
</cp:coreProperties>
</file>