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4824D2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4824D2" w:rsidRDefault="00845A30">
            <w:pPr>
              <w:spacing w:after="0" w:line="240" w:lineRule="auto"/>
            </w:pPr>
            <w:bookmarkStart w:id="0" w:name="_GoBack"/>
            <w:bookmarkEnd w:id="0"/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4824D2" w:rsidRDefault="00845A30">
            <w:pPr>
              <w:spacing w:after="0" w:line="240" w:lineRule="auto"/>
            </w:pPr>
            <w:r>
              <w:t>37164</w:t>
            </w:r>
          </w:p>
        </w:tc>
      </w:tr>
      <w:tr w:rsidR="004824D2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4824D2" w:rsidRDefault="00845A3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4824D2" w:rsidRDefault="00845A30">
            <w:pPr>
              <w:spacing w:after="0" w:line="240" w:lineRule="auto"/>
            </w:pPr>
            <w:r>
              <w:t>OPĆINA PODCRKAVLJE</w:t>
            </w:r>
          </w:p>
        </w:tc>
      </w:tr>
      <w:tr w:rsidR="004824D2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4824D2" w:rsidRDefault="00845A3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4824D2" w:rsidRDefault="00845A30">
            <w:pPr>
              <w:spacing w:after="0" w:line="240" w:lineRule="auto"/>
            </w:pPr>
            <w:r>
              <w:t>23</w:t>
            </w:r>
          </w:p>
        </w:tc>
      </w:tr>
    </w:tbl>
    <w:p w:rsidR="004824D2" w:rsidRDefault="00845A30">
      <w:r>
        <w:br/>
      </w:r>
    </w:p>
    <w:p w:rsidR="004824D2" w:rsidRDefault="00845A3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4824D2" w:rsidRDefault="00845A30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4824D2" w:rsidRDefault="00845A30">
      <w:pPr>
        <w:spacing w:line="240" w:lineRule="auto"/>
        <w:jc w:val="center"/>
      </w:pPr>
      <w:r>
        <w:rPr>
          <w:b/>
          <w:sz w:val="28"/>
        </w:rPr>
        <w:t>I - VI 2025.</w:t>
      </w:r>
    </w:p>
    <w:p w:rsidR="004824D2" w:rsidRDefault="004824D2"/>
    <w:p w:rsidR="004824D2" w:rsidRDefault="00845A3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4824D2" w:rsidRDefault="00845A3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824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24D2" w:rsidRDefault="00845A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24D2" w:rsidRDefault="00845A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24D2" w:rsidRDefault="00845A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24D2" w:rsidRDefault="00845A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24D2" w:rsidRDefault="00845A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24D2" w:rsidRDefault="00845A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824D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824D2" w:rsidRDefault="00845A3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824D2" w:rsidRDefault="00845A3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824D2" w:rsidRDefault="00845A3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824D2" w:rsidRDefault="00845A3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913.322,76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824D2" w:rsidRDefault="00845A3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760.167,01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824D2" w:rsidRDefault="00845A3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83,2</w:t>
            </w:r>
          </w:p>
        </w:tc>
      </w:tr>
      <w:tr w:rsidR="004824D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824D2" w:rsidRDefault="00845A3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824D2" w:rsidRDefault="00845A3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824D2" w:rsidRDefault="00845A3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824D2" w:rsidRDefault="00845A3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439.345,79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824D2" w:rsidRDefault="00845A3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599.041,39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824D2" w:rsidRDefault="00845A3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136,3</w:t>
            </w:r>
          </w:p>
        </w:tc>
      </w:tr>
      <w:tr w:rsidR="004824D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824D2" w:rsidRDefault="004824D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824D2" w:rsidRDefault="00845A3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824D2" w:rsidRDefault="00845A3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824D2" w:rsidRDefault="00845A3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473.976,97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824D2" w:rsidRDefault="00845A3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161.125,62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824D2" w:rsidRDefault="00845A3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34,0</w:t>
            </w:r>
          </w:p>
        </w:tc>
      </w:tr>
      <w:tr w:rsidR="004824D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824D2" w:rsidRDefault="00845A3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824D2" w:rsidRDefault="00845A3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824D2" w:rsidRDefault="00845A3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824D2" w:rsidRDefault="00845A3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824D2" w:rsidRDefault="00845A3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824D2" w:rsidRDefault="00845A3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4824D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824D2" w:rsidRDefault="00845A3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824D2" w:rsidRDefault="00845A3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824D2" w:rsidRDefault="00845A3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824D2" w:rsidRDefault="00845A3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475.392,97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824D2" w:rsidRDefault="00845A3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352.692,66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824D2" w:rsidRDefault="00845A3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74,2</w:t>
            </w:r>
          </w:p>
        </w:tc>
      </w:tr>
      <w:tr w:rsidR="004824D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824D2" w:rsidRDefault="004824D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824D2" w:rsidRDefault="00845A3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824D2" w:rsidRDefault="00845A3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824D2" w:rsidRDefault="00845A3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475.392,97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824D2" w:rsidRDefault="00845A3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352.692,66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824D2" w:rsidRDefault="00845A3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74,2</w:t>
            </w:r>
          </w:p>
        </w:tc>
      </w:tr>
      <w:tr w:rsidR="004824D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824D2" w:rsidRDefault="00845A3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824D2" w:rsidRDefault="00845A3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824D2" w:rsidRDefault="00845A3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824D2" w:rsidRDefault="00845A3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824D2" w:rsidRDefault="00845A3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824D2" w:rsidRDefault="00845A3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4824D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824D2" w:rsidRDefault="00845A3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824D2" w:rsidRDefault="00845A3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Izdaci za financijsku imovinu i otplate zajmova (šifre </w:t>
            </w:r>
            <w:r>
              <w:rPr>
                <w:sz w:val="18"/>
              </w:rPr>
              <w:t>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824D2" w:rsidRDefault="00845A3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824D2" w:rsidRDefault="00845A3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44.517,48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824D2" w:rsidRDefault="00845A3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38.157,84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824D2" w:rsidRDefault="00845A3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85,7</w:t>
            </w:r>
          </w:p>
        </w:tc>
      </w:tr>
      <w:tr w:rsidR="004824D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824D2" w:rsidRDefault="004824D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824D2" w:rsidRDefault="00845A3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PRIMITAKA OD FINANCIJSKE IMOVINE I ZADUŽIVANJA (šifre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824D2" w:rsidRDefault="00845A3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824D2" w:rsidRDefault="00845A3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44.517,48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824D2" w:rsidRDefault="00845A3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38.157,84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824D2" w:rsidRDefault="00845A3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85,7</w:t>
            </w:r>
          </w:p>
        </w:tc>
      </w:tr>
      <w:tr w:rsidR="004824D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824D2" w:rsidRDefault="004824D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824D2" w:rsidRDefault="00845A3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824D2" w:rsidRDefault="00845A3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824D2" w:rsidRDefault="00845A3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45.933,48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824D2" w:rsidRDefault="00845A3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229.724,88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824D2" w:rsidRDefault="00845A3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500,1</w:t>
            </w:r>
          </w:p>
        </w:tc>
      </w:tr>
    </w:tbl>
    <w:p w:rsidR="004824D2" w:rsidRDefault="004824D2">
      <w:pPr>
        <w:spacing w:after="0"/>
      </w:pPr>
    </w:p>
    <w:p w:rsidR="004824D2" w:rsidRDefault="00845A30">
      <w:pPr>
        <w:spacing w:line="240" w:lineRule="auto"/>
        <w:jc w:val="both"/>
      </w:pPr>
      <w:r>
        <w:t xml:space="preserve">Općina Podcrkavlje  ima jednog </w:t>
      </w:r>
      <w:r>
        <w:t>proračunskog korisnika i to je Dječji vrtić Bambi Podcrkavlje. U konsolidiranom financijskom izvještaju prikazuje se poslovanje Općine Podcrkavlje zajedno sa njenim korisnikom DV Bambi Podcrkavlje na način da se sagledaju kao jedna jedinstvena cjelina. Opć</w:t>
      </w:r>
      <w:r>
        <w:t>ina Podcrkavlje je sa svojim proračunskim korisnikom DV Bambi Podcrkavlje u izvještajnom razdoblju ostvarila manjak prihoda u iznosu od 229.724,88 EUR . Razlog ovakvog manjka su slabiji priljevi proračunskih prihoda, te kašnjenje u obradi ZNS-ova za radove</w:t>
      </w:r>
      <w:r>
        <w:t xml:space="preserve"> na dogradnji Dječjeg vrtića.</w:t>
      </w:r>
    </w:p>
    <w:p w:rsidR="004824D2" w:rsidRDefault="00845A30">
      <w:r>
        <w:lastRenderedPageBreak/>
        <w:br/>
      </w:r>
    </w:p>
    <w:p w:rsidR="004824D2" w:rsidRDefault="00845A30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:rsidR="004824D2" w:rsidRDefault="00845A30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4824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24D2" w:rsidRDefault="00845A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24D2" w:rsidRDefault="00845A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24D2" w:rsidRDefault="00845A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24D2" w:rsidRDefault="00845A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824D2" w:rsidRDefault="00845A3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824D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824D2" w:rsidRDefault="004824D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824D2" w:rsidRDefault="00845A3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824D2" w:rsidRDefault="00845A3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824D2" w:rsidRDefault="00845A3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205,03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824D2" w:rsidRDefault="00845A3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4824D2" w:rsidRDefault="004824D2">
      <w:pPr>
        <w:spacing w:after="0"/>
      </w:pPr>
    </w:p>
    <w:p w:rsidR="004824D2" w:rsidRDefault="00845A30">
      <w:pPr>
        <w:spacing w:line="240" w:lineRule="auto"/>
        <w:jc w:val="both"/>
      </w:pPr>
      <w:r>
        <w:t xml:space="preserve">Stanje dospjelih </w:t>
      </w:r>
      <w:r>
        <w:t>obveza koje se odnose na proračunskog korisnika na kraju izvještajnog razdoblja iznosi 205,03 €, a odnosi se na režijske troškove za lipanj koji dospijevaju u srpnju te su podmireni u valuti.</w:t>
      </w:r>
    </w:p>
    <w:p w:rsidR="004824D2" w:rsidRDefault="004824D2"/>
    <w:p w:rsidR="004824D2" w:rsidRDefault="00845A30">
      <w:pPr>
        <w:keepNext/>
        <w:spacing w:line="240" w:lineRule="auto"/>
        <w:jc w:val="center"/>
      </w:pPr>
      <w:r>
        <w:rPr>
          <w:sz w:val="28"/>
        </w:rPr>
        <w:t>Bilješka 3.</w:t>
      </w:r>
    </w:p>
    <w:p w:rsidR="004824D2" w:rsidRDefault="00845A30">
      <w:pPr>
        <w:spacing w:line="240" w:lineRule="auto"/>
        <w:jc w:val="both"/>
      </w:pPr>
      <w:r>
        <w:rPr>
          <w:b/>
        </w:rPr>
        <w:t>Manjak ili višak u poslovanju grupe i pregled struk</w:t>
      </w:r>
      <w:r>
        <w:rPr>
          <w:b/>
        </w:rPr>
        <w:t>ture manjka/viška po proračunskim korisnicima</w:t>
      </w:r>
    </w:p>
    <w:p w:rsidR="004824D2" w:rsidRDefault="00845A30">
      <w:pPr>
        <w:spacing w:line="240" w:lineRule="auto"/>
        <w:jc w:val="both"/>
      </w:pPr>
      <w:r>
        <w:t>Općina Podcrkavlje je sa svojim proračunskim korisnikom DV Bambi Podcrkavlje  u izvještajnom razdoblju ostvarila  manjak prihoda u iznosu od 229.724,88 EUR. Općina - 223.710,41 EUR, DV Bambi Podcrkavlje - 6.014</w:t>
      </w:r>
      <w:r>
        <w:t>,47 EUR</w:t>
      </w:r>
    </w:p>
    <w:p w:rsidR="004824D2" w:rsidRDefault="004824D2"/>
    <w:p w:rsidR="004824D2" w:rsidRDefault="00845A30">
      <w:pPr>
        <w:keepNext/>
        <w:spacing w:line="240" w:lineRule="auto"/>
        <w:jc w:val="center"/>
      </w:pPr>
      <w:r>
        <w:rPr>
          <w:sz w:val="28"/>
        </w:rPr>
        <w:t>Bilješka 4.</w:t>
      </w:r>
    </w:p>
    <w:p w:rsidR="004824D2" w:rsidRDefault="00845A30">
      <w:pPr>
        <w:spacing w:line="240" w:lineRule="auto"/>
        <w:jc w:val="both"/>
      </w:pPr>
      <w:proofErr w:type="spellStart"/>
      <w:r>
        <w:rPr>
          <w:b/>
        </w:rPr>
        <w:t>Unutargrupne</w:t>
      </w:r>
      <w:proofErr w:type="spellEnd"/>
      <w:r>
        <w:rPr>
          <w:b/>
        </w:rPr>
        <w:t xml:space="preserve"> transakcije koje su u izvještajima eliminirane</w:t>
      </w:r>
    </w:p>
    <w:p w:rsidR="004824D2" w:rsidRDefault="00845A30">
      <w:pPr>
        <w:spacing w:line="240" w:lineRule="auto"/>
        <w:jc w:val="both"/>
      </w:pPr>
      <w:r>
        <w:t>U procesu konsolidacije eliminirani su prihodi iskazani kod proračunskog korisnika na kontu 671 Prihodi iz nadležnog proračuna za financiranje redovne djelatnosti proračunskih</w:t>
      </w:r>
      <w:r>
        <w:t xml:space="preserve"> korisnika te rashodi kod Općine Podcrkavlje na kontu 367 Prijenosi proračunskim korisnicima iz nadležnog proračuna za financiranje redovne djelatnosti u ukupnom iznosu od 51.412,71 EUR.</w:t>
      </w:r>
    </w:p>
    <w:p w:rsidR="004824D2" w:rsidRDefault="004824D2"/>
    <w:sectPr w:rsidR="004824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4D2"/>
    <w:rsid w:val="004824D2"/>
    <w:rsid w:val="0084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AAE7DB-3223-4F9D-B343-8307C009A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2025-07-11T09:25:00Z</dcterms:created>
  <dcterms:modified xsi:type="dcterms:W3CDTF">2025-07-11T09:25:00Z</dcterms:modified>
</cp:coreProperties>
</file>