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6d748e01392d4d9b"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37164</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OPĆINA PODCRKAVLJE</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23</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2.234.957,97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2.240.715,19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958.801,52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1.217.277,10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1.276.156,45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1.023.438,09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80,2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1.260.783,27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1.087.638,32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1.260.783,27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1.087.638,32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86,3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84.152,08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76.315,68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PRIMITAKA OD FINANCIJSKE IMOVINE I ZADUŽIVANJA (šifre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84.152,08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76.315,68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90,7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68.778,90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140.515,91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204,3</w:t>
            </w:r>
          </w:p>
        </w:tc>
      </w:tr>
    </w:tbl>
    <w:p>
      <w:pPr>
        <w:spacing w:before="0" w:after="0"/>
      </w:pPr>
    </w:p>
    <w:p>
      <w:r>
        <w:t xml:space="preserve">Općina Podcrkavlje je u izvještajnom razdoblju ostvarila  višak prihoda i iznosu od 26.264,69 EUR.</w:t>
      </w:r>
    </w:p>
    <w:p>
      <w:r>
        <w:t xml:space="preserve">Djećji vrtić "Bambi Podcrkavlje" ostvario je manjak prihoda u iznosu od 2.528,13 EUR. </w:t>
      </w:r>
    </w:p>
    <w:p>
      <w:r>
        <w:br/>
      </w:r>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179,81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dospjelih obveza na kraju izvještajnog razdoblja inosi 179,81, i odnosi se na obveze za predujmove - NAKNADA ZA VRTIĆ</w:t>
      </w:r>
    </w:p>
    <w:p/>
    <w:p>
      <w:pPr>
        <w:jc w:val="center"/>
        <w:pStyle w:val="Normal"/>
        <w:spacing w:line="240" w:lineRule="auto"/>
        <w:keepNext/>
      </w:pPr>
      <w:r>
        <w:rPr>
          <w:sz w:val="28"/>
          <w:rFonts w:ascii="Times New Roman" w:hAnsi="Times New Roman"/>
        </w:rPr>
        <w:t xml:space="preserve">Bilješka 3.</w:t>
      </w:r>
    </w:p>
    <w:p>
      <w:pPr>
        <w:jc w:val="both"/>
        <w:pStyle w:val="Normal"/>
        <w:spacing w:line="240" w:lineRule="auto"/>
      </w:pPr>
      <w:r>
        <w:rPr>
          <w:b/>
          <w:sz w:val="24"/>
          <w:rFonts w:ascii="Times New Roman" w:hAnsi="Times New Roman"/>
        </w:rPr>
        <w:t xml:space="preserve">Manjak ili višak u poslovanju grupe i pregled strukture manjka/viška po proračunskim korisnicima </w:t>
      </w:r>
    </w:p>
    <w:p>
      <w:r>
        <w:t xml:space="preserve">Općina Podcrkavlje je u izvještajnom razdoblju ostvarila  višak prihoda i iznosu od 26.264,69 EUR,</w:t>
      </w:r>
    </w:p>
    <w:p>
      <w:r>
        <w:t xml:space="preserve">Djećji vrtić "Bambi Podcrkavlje" ostvario je manjak prihoda u iznosu od 2.528,13 EUR,</w:t>
      </w:r>
    </w:p>
    <w:p>
      <w:r>
        <w:t xml:space="preserve">što u ukupnom iznosu čini višak prihoda i primitaka od 23.736,56 EUR.</w:t>
      </w:r>
    </w:p>
    <w:p>
      <w:r>
        <w:t xml:space="preserve"> </w:t>
      </w:r>
    </w:p>
    <w:p/>
    <w:p>
      <w:pPr>
        <w:jc w:val="center"/>
        <w:pStyle w:val="Normal"/>
        <w:spacing w:line="240" w:lineRule="auto"/>
        <w:keepNext/>
      </w:pPr>
      <w:r>
        <w:rPr>
          <w:sz w:val="28"/>
          <w:rFonts w:ascii="Times New Roman" w:hAnsi="Times New Roman"/>
        </w:rPr>
        <w:t xml:space="preserve">Bilješka 4.</w:t>
      </w:r>
    </w:p>
    <w:p>
      <w:pPr>
        <w:jc w:val="both"/>
        <w:pStyle w:val="Normal"/>
        <w:spacing w:line="240" w:lineRule="auto"/>
      </w:pPr>
      <w:r>
        <w:rPr>
          <w:b/>
          <w:sz w:val="24"/>
          <w:rFonts w:ascii="Times New Roman" w:hAnsi="Times New Roman"/>
        </w:rPr>
        <w:t xml:space="preserve">Unutargrupne transakcije koje su u izvještajima eliminirane</w:t>
      </w:r>
    </w:p>
    <w:p>
      <w:r>
        <w:t xml:space="preserve">U procesu konsolidacije eliminirani su prihodi iskazani kod proračunskog korisnika na kontu 671 Prihodi iz nadležnog proračuna za financiranje redovne djelatnosti proračunskih korisnika te rashodi kod Općine Podcrkavlje na kontu 367 Prijenosi proračunskim korisnicima iz nadležnog proračuna za financiranje redovne djelatnosti u ukupnom iznosu od 126.216,99 EUR.</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aeaaa8dc2c894fda" /></Relationships>
</file>