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0576f32864af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37164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PODCRKAVLJE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420.744,61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619.322,82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239.506,57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232.597,97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181.238,04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386.724,85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193.981,95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193.981,95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32.080,98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19.078,92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19.078,92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348.284,23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Podcrkavlje je u izvještajnom razdoblju ostvarila  višak prihoda u iznosu od 348.284,23 EUR. </w:t>
      </w:r>
    </w:p>
    <w:p>
      <w:r>
        <w:t xml:space="preserve">Iskazani iznos se odnosi na prihode od pomoći temeljem prijenosa EU sredstava, odobreni ZNS-ovi projekta koje provodi Općina Podcrkavlje.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203.366,18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222.540,05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r>
        <w:t xml:space="preserve">Iskazani iznos  je odraz priljeva poreznih prihoda i izvršenog povrata poreza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153.789,09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173.989,88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Iskazani iznos odnosi se na prihod od fiskalnog izravnanja i fiskalne održivosti dj.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 od Fonda za zaštitu okoliša i energetsku učinkovitost koji se odnosi na nabavu javnih bicikala i digitalnu arhivu.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36.111,42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77.630,22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215,0</w:t>
            </w:r>
          </w:p>
        </w:tc>
      </w:tr>
    </w:tbl>
    <w:p>
      <w:pPr>
        <w:spacing w:before="0" w:after="0"/>
      </w:pPr>
    </w:p>
    <w:p>
      <w:r>
        <w:t xml:space="preserve">Iskazani iznos se odnosi na prihode od pomoći temeljem prijenosa EU sredstava, odobreni ZNS-ovi projekta koje provodi Općina Podcrkavlje.</w:t>
      </w:r>
    </w:p>
    <w:p>
      <w:r>
        <w:t xml:space="preserve">AGENCIJA ZA PLACANJA U POLJ., RIB za nabavu radnok stroja te 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67,9</w:t>
            </w:r>
          </w:p>
        </w:tc>
      </w:tr>
    </w:tbl>
    <w:p>
      <w:pPr>
        <w:spacing w:before="0" w:after="0"/>
      </w:pPr>
    </w:p>
    <w:p>
      <w:r>
        <w:t xml:space="preserve">Navedeni iznos odnosi se na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91,2</w:t>
            </w:r>
          </w:p>
        </w:tc>
      </w:tr>
    </w:tbl>
    <w:p>
      <w:pPr>
        <w:spacing w:before="0" w:after="0"/>
      </w:pPr>
    </w:p>
    <w:p>
      <w:r>
        <w:t xml:space="preserve">Iskazani iznos su prihodi od zakupa poslovnih prostora, zakupa poljoprivrednog zemljišta, koncesijske naknade - odvoz smeća, proizvodnju el. energije te legalizaciju.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21.701,33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85.399,29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393,5</w:t>
            </w:r>
          </w:p>
        </w:tc>
      </w:tr>
    </w:tbl>
    <w:p>
      <w:pPr>
        <w:spacing w:before="0" w:after="0"/>
      </w:pPr>
    </w:p>
    <w:p>
      <w:r>
        <w:t xml:space="preserve">Iskazani iznos  odnosi se na prihode od doprinosa za šume, komunalnog doprinosa, komunalne naknade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44,0</w:t>
            </w:r>
          </w:p>
        </w:tc>
      </w:tr>
    </w:tbl>
    <w:p>
      <w:pPr>
        <w:spacing w:before="0" w:after="0"/>
      </w:pPr>
    </w:p>
    <w:p>
      <w:r>
        <w:t xml:space="preserve">Iskazani iznos se odnosi na naplatu prihoda za NUV i korištenje video zida.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68.393,55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71.524,86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r>
        <w:t xml:space="preserve">Iskazani iznos se odnosi na rashode za plaće (bruto)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topli obrok, uskrsnica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9.593,94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9.706,26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Iskazani iznos se odnosi na rashode za doprinose na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5.139,75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228,5</w:t>
            </w:r>
          </w:p>
        </w:tc>
      </w:tr>
    </w:tbl>
    <w:p>
      <w:pPr>
        <w:spacing w:before="0" w:after="0"/>
      </w:pPr>
    </w:p>
    <w:p>
      <w:r>
        <w:t xml:space="preserve">Rashodi za službena putovanja, stručno usavršavanje zaposlenika, naknade za prijevoz na posao i s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13.423,07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16.729,01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Iskazani iznos se odnosi na rashode za materijal i energiju  za  troškove motornog benzina, dizela (za potrebe komunalnih poslova), te za troškove električne energije po objektima u vlasništvu Općine Podcrkavlje, kao i za troškove električne energije za javnu rasvjetu u svih dvanaest naselja Općine Podcrkavlje.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83.957,27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88.361,33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Iskazani iznos odnosi se  na intelektualne, zdravstvene, komunalne, usluge tekućeg održavanja te usluge telefona, pošte i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44.998,43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35.396,94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78,7</w:t>
            </w:r>
          </w:p>
        </w:tc>
      </w:tr>
    </w:tbl>
    <w:p>
      <w:pPr>
        <w:spacing w:before="0" w:after="0"/>
      </w:pPr>
    </w:p>
    <w:p>
      <w:r>
        <w:t xml:space="preserve">Tekuće i investicijsko održavanje građevinskih objekata u vlasništvu općine i javna rasvjeta.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86,4</w:t>
            </w:r>
          </w:p>
        </w:tc>
      </w:tr>
    </w:tbl>
    <w:p>
      <w:pPr>
        <w:spacing w:before="0" w:after="0"/>
      </w:pPr>
    </w:p>
    <w:p>
      <w:r>
        <w:t xml:space="preserve">Medijsko praćenje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7.742,76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11.940,45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154,2</w:t>
            </w:r>
          </w:p>
        </w:tc>
      </w:tr>
    </w:tbl>
    <w:p>
      <w:pPr>
        <w:spacing w:before="0" w:after="0"/>
      </w:pPr>
    </w:p>
    <w:p>
      <w:r>
        <w:t xml:space="preserve">Usluge deratizacije, dezinsekcije i larvicidni tretmani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Nadzor HZJZ nad tretmanom komaraca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18.526,41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29.708,84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160,4</w:t>
            </w:r>
          </w:p>
        </w:tc>
      </w:tr>
    </w:tbl>
    <w:p>
      <w:pPr>
        <w:spacing w:before="0" w:after="0"/>
      </w:pPr>
    </w:p>
    <w:p>
      <w:r>
        <w:t xml:space="preserve">Održavanje programskog sustava, konzultantske usluge, zaštita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89,7</w:t>
            </w:r>
          </w:p>
        </w:tc>
      </w:tr>
    </w:tbl>
    <w:p>
      <w:pPr>
        <w:spacing w:before="0" w:after="0"/>
      </w:pPr>
    </w:p>
    <w:p>
      <w:r>
        <w:t xml:space="preserve">Trošak skloništa za životinje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7.156,81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43,5</w:t>
            </w:r>
          </w:p>
        </w:tc>
      </w:tr>
    </w:tbl>
    <w:p>
      <w:pPr>
        <w:spacing w:before="0" w:after="0"/>
      </w:pPr>
    </w:p>
    <w:p>
      <w:r>
        <w:t xml:space="preserve">premije osiguranja, administrativne pristojbe, javnobilježničke pristojbe, reprezentacija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(šifre 3421 do 3428)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4.388,72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64,9</w:t>
            </w:r>
          </w:p>
        </w:tc>
      </w:tr>
    </w:tbl>
    <w:p>
      <w:pPr>
        <w:spacing w:before="0" w:after="0"/>
      </w:pPr>
    </w:p>
    <w:p>
      <w:r>
        <w:t xml:space="preserve">Kamate po kreditu koji se odnosi na izgradnju DVD-a.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197,8</w:t>
            </w:r>
          </w:p>
        </w:tc>
      </w:tr>
    </w:tbl>
    <w:p>
      <w:pPr>
        <w:spacing w:before="0" w:after="0"/>
      </w:pPr>
    </w:p>
    <w:p>
      <w:r>
        <w:t xml:space="preserve">Iskazani iznos se odnosi na bankovne troškove redovnog financijskog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r>
        <w:t xml:space="preserve">Ostvareni iznos odnosi se na jednokratne novčane pomoći, stipendije, rodiljne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17.783,13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189,8</w:t>
            </w:r>
          </w:p>
        </w:tc>
      </w:tr>
    </w:tbl>
    <w:p>
      <w:pPr>
        <w:spacing w:before="0" w:after="0"/>
      </w:pPr>
    </w:p>
    <w:p>
      <w:r>
        <w:t xml:space="preserve">Iskazani iznos se odnosi na donacije i kapitalne pomoći udrugama.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48.270,81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66,5</w:t>
            </w:r>
          </w:p>
        </w:tc>
      </w:tr>
    </w:tbl>
    <w:p>
      <w:pPr>
        <w:spacing w:before="0" w:after="0"/>
      </w:pPr>
    </w:p>
    <w:p>
      <w:r>
        <w:t xml:space="preserve">Ostvareni iznos odnosi se na kupnju vozila (caddy i kombi), spremnici za selektivno skupljanje otpada, uredski namještaj (stolice), računalna oprema.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19.078,92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33,3</w:t>
            </w:r>
          </w:p>
        </w:tc>
      </w:tr>
    </w:tbl>
    <w:p>
      <w:pPr>
        <w:spacing w:before="0" w:after="0"/>
      </w:pPr>
    </w:p>
    <w:p>
      <w:r>
        <w:t xml:space="preserve">Ostvareni iznos odnosi se na otplatu dugoročnog zaduženja općine koje se odnosi na izgradnju DVD-a.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navedenom razdoblju Općina Podcrkavlje nema dospjelih a neplaćenih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288.545,55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iznos odnosi se na plaće i naknade za zaposlene, obveze prema dobavljačima, obaveze za kredit za izgradnju DVD-a te obveze za predujmove.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Navedeni iznos se odnosi na odobrene ZNS-ove projekta Zaželi.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ca092828ac4d82" /></Relationships>
</file>