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C690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C690E" w:rsidRDefault="001C5DD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C690E" w:rsidRDefault="001C5DD4">
            <w:pPr>
              <w:spacing w:after="0" w:line="240" w:lineRule="auto"/>
            </w:pPr>
            <w:r>
              <w:t>37164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C690E" w:rsidRDefault="001C5DD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C690E" w:rsidRDefault="001C5DD4">
            <w:pPr>
              <w:spacing w:after="0" w:line="240" w:lineRule="auto"/>
            </w:pPr>
            <w:r>
              <w:t>OPĆINA PODCRKAVLJE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C690E" w:rsidRDefault="001C5DD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C690E" w:rsidRDefault="001C5DD4">
            <w:pPr>
              <w:spacing w:after="0" w:line="240" w:lineRule="auto"/>
            </w:pPr>
            <w:r>
              <w:t>23</w:t>
            </w:r>
          </w:p>
        </w:tc>
      </w:tr>
    </w:tbl>
    <w:p w:rsidR="004C690E" w:rsidRDefault="001C5DD4">
      <w:r>
        <w:br/>
      </w:r>
    </w:p>
    <w:p w:rsidR="004C690E" w:rsidRDefault="001C5DD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C690E" w:rsidRDefault="001C5DD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C690E" w:rsidRDefault="001C5DD4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4C690E" w:rsidRDefault="004C690E"/>
    <w:p w:rsidR="004C690E" w:rsidRDefault="001C5DD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C690E" w:rsidRDefault="001C5DD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6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760.167,01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1.027.248,56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135,1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599.041,39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764.329,84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4C69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161.125,62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262.918,72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163,2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352.692,66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90.609,61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25,7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4C69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34.077,89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4C69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38.157,84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4C69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258.838,77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C690E" w:rsidRDefault="004C690E">
      <w:pPr>
        <w:spacing w:after="0"/>
      </w:pPr>
    </w:p>
    <w:p w:rsidR="004C690E" w:rsidRDefault="001C5DD4">
      <w:r>
        <w:t>Općina Podcrkavlje  ima jednog proračunskog korisnika i to je Dječji vrtić Bambi Podcrkavlje. U konsolidiranom financijskom izvještaju prikazuje se poslovanje Općine Podcrkavlje zajedno sa njenim korisnikom DV Bambi Podcrkavlje na način da se sagledaju kao</w:t>
      </w:r>
      <w:r>
        <w:t xml:space="preserve"> jedna jedinstvena cjelina. Općina Podcrkavlje je sa svojim proračunskim korisnikom DV Bambi Podcrkavlje u izvještajnom razdoblju ostvarila višak prihoda i primitaka u iznosu od 258.838,77 EUR . </w:t>
      </w:r>
    </w:p>
    <w:p w:rsidR="004C690E" w:rsidRDefault="001C5DD4">
      <w:r>
        <w:lastRenderedPageBreak/>
        <w:br/>
      </w:r>
    </w:p>
    <w:p w:rsidR="004C690E" w:rsidRDefault="001C5DD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C690E" w:rsidRDefault="001C5DD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C6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690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4C69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690E" w:rsidRDefault="001C5D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C690E" w:rsidRDefault="004C690E">
      <w:pPr>
        <w:spacing w:after="0"/>
      </w:pPr>
    </w:p>
    <w:p w:rsidR="004C690E" w:rsidRDefault="001C5DD4">
      <w:r>
        <w:t>Stanje dospjelih obveza proračunskog korisnika na kraju izvještajnog razdoblja iznosi 13,64 €, a odnosi se na predujmove naknade za vrtić </w:t>
      </w:r>
    </w:p>
    <w:p w:rsidR="004C690E" w:rsidRDefault="004C690E"/>
    <w:p w:rsidR="004C690E" w:rsidRDefault="001C5DD4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4C690E" w:rsidRDefault="001C5DD4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4C690E" w:rsidRDefault="001C5DD4">
      <w:r>
        <w:t>Općina Podcrkavlje i DV Bambi Podcrkavlje su u sustavu riznice.</w:t>
      </w:r>
    </w:p>
    <w:p w:rsidR="004C690E" w:rsidRDefault="004C690E"/>
    <w:p w:rsidR="004C690E" w:rsidRDefault="001C5DD4">
      <w:pPr>
        <w:keepNext/>
        <w:spacing w:line="240" w:lineRule="auto"/>
        <w:jc w:val="center"/>
      </w:pPr>
      <w:r>
        <w:rPr>
          <w:sz w:val="28"/>
        </w:rPr>
        <w:t>Bilješka 4.</w:t>
      </w:r>
    </w:p>
    <w:p w:rsidR="004C690E" w:rsidRDefault="001C5DD4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4C690E" w:rsidRDefault="001C5DD4">
      <w:r>
        <w:t>Općina Podcrkavlje je sa svojim proračunskim korisnikom DV Bambi Podcrkavlje  u i</w:t>
      </w:r>
      <w:r>
        <w:t>zvještajnom razdoblju ostvarila  višak prihoda u iznosu od 282.575,33 EUR. Općina je ostvarila višak prihoda od 358.799,45 EUR, a DV Bambi Podcrkavlje manjak prihoda od  76.224,12 EUR.</w:t>
      </w:r>
    </w:p>
    <w:p w:rsidR="004C690E" w:rsidRDefault="004C690E"/>
    <w:sectPr w:rsidR="004C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0E"/>
    <w:rsid w:val="001C5DD4"/>
    <w:rsid w:val="004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4DA5A-735B-4957-8100-BEE62465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2026-07-15T11:16:00Z</dcterms:created>
  <dcterms:modified xsi:type="dcterms:W3CDTF">2026-07-15T11:16:00Z</dcterms:modified>
</cp:coreProperties>
</file>